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Analysis</w:t>
      </w:r>
    </w:p>
    <w:bookmarkStart w:id="32" w:name="X592481563123dcc0c521976a4534fdcd0e776c3"/>
    <w:p>
      <w:pPr>
        <w:pStyle w:val="Heading1"/>
      </w:pPr>
      <w:r>
        <w:t xml:space="preserve">Comprehensive Sales Report: Teacher Secondary Educational Solutions in Italy Milan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detailed analysis of the performance for Teacher Secondary educational solutions across Milan, Italy. As the leading provider of specialized pedagogical tools for secondary school educators in Lombardy's capital, our Q3 results demonstrate a 17.8% year-over-year growth trajectory within the Italy Milan market. The sustained demand underscores Teacher Secondary's strategic alignment with regional educational priorities, particularly following the implementation of new national curricular frameworks in Italian secondary education. This report confirms Milan as our most valuable metropolitan market, contributing 34% of total Italy sales revenue during Q3.</w:t>
      </w:r>
    </w:p>
    <w:bookmarkEnd w:id="20"/>
    <w:bookmarkStart w:id="22" w:name="Xaa49988cec46b949475b59f568abab59e5b91c1"/>
    <w:p>
      <w:pPr>
        <w:pStyle w:val="Heading2"/>
      </w:pPr>
      <w:r>
        <w:t xml:space="preserve">II. Market Context: Teacher Secondary Positioning in Italy Milan</w:t>
      </w:r>
    </w:p>
    <w:p>
      <w:pPr>
        <w:pStyle w:val="FirstParagraph"/>
      </w:pPr>
      <w:r>
        <w:t xml:space="preserve">Milan's educational landscape represents a critical frontier for Teacher Secondary initiatives. With over 1,200 secondary schools (Licei, Istituti Tecnici) and 68,000+ certified secondary teachers across Lombardy's economic hub, Italy Milan offers unparalleled market potential. The city's strategic emphasis on digital transformation in education—evidenced by the Milan City Council's €45M investment in school technology infrastructure—has accelerated demand for our Teacher Secondary platform. Our localized solutions now address specific regional needs: 72% of sales in this quarter involved customized modules aligned with Lombardy's new STEM integration guidelines and artistic curriculum updates.</w:t>
      </w:r>
    </w:p>
    <w:bookmarkStart w:id="21" w:name="key-market-drivers"/>
    <w:p>
      <w:pPr>
        <w:pStyle w:val="Heading3"/>
      </w:pPr>
      <w:r>
        <w:t xml:space="preserve">Key Market Drivers:</w:t>
      </w:r>
    </w:p>
    <w:p>
      <w:pPr>
        <w:numPr>
          <w:ilvl w:val="0"/>
          <w:numId w:val="1001"/>
        </w:numPr>
        <w:pStyle w:val="Compact"/>
      </w:pPr>
      <w:r>
        <w:rPr>
          <w:bCs/>
          <w:b/>
        </w:rPr>
        <w:t xml:space="preserve">National Curriculum Shifts:</w:t>
      </w:r>
      <w:r>
        <w:t xml:space="preserve"> </w:t>
      </w:r>
      <w:r>
        <w:t xml:space="preserve">2023 reforms prioritizing project-based learning increased demand for Teacher Secondary's collaborative classroom tools</w:t>
      </w:r>
    </w:p>
    <w:p>
      <w:pPr>
        <w:numPr>
          <w:ilvl w:val="0"/>
          <w:numId w:val="1001"/>
        </w:numPr>
        <w:pStyle w:val="Compact"/>
      </w:pPr>
      <w:r>
        <w:rPr>
          <w:bCs/>
          <w:b/>
        </w:rPr>
        <w:t xml:space="preserve">Teacher Shortage Crisis:</w:t>
      </w:r>
      <w:r>
        <w:t xml:space="preserve"> </w:t>
      </w:r>
      <w:r>
        <w:t xml:space="preserve">Milan reports a 19% vacancy rate in secondary education, driving demand for efficiency tools from Teacher Secondary</w:t>
      </w:r>
    </w:p>
    <w:bookmarkEnd w:id="21"/>
    <w:bookmarkEnd w:id="22"/>
    <w:bookmarkStart w:id="24" w:name="Xfcc6af2b294747323347cc086523b43ef7f1094"/>
    <w:p>
      <w:pPr>
        <w:pStyle w:val="Heading2"/>
      </w:pPr>
      <w:r>
        <w:t xml:space="preserve">III. Q3 2023 Sales Performance: Italy Milan Focus</w:t>
      </w:r>
    </w:p>
    <w:p>
      <w:pPr>
        <w:pStyle w:val="FirstParagraph"/>
      </w:pPr>
      <w:r>
        <w:t xml:space="preserve">Product/Service</w:t>
      </w:r>
    </w:p>
    <w:p>
      <w:pPr>
        <w:pStyle w:val="BodyText"/>
      </w:pPr>
      <w:r>
        <w:t xml:space="preserve">Revenue (€)</w:t>
      </w:r>
    </w:p>
    <w:p>
      <w:pPr>
        <w:pStyle w:val="BodyText"/>
      </w:pPr>
      <w:r>
        <w:t xml:space="preserve">% of Total Milan Sales</w:t>
      </w:r>
    </w:p>
    <w:p>
      <w:pPr>
        <w:pStyle w:val="BodyText"/>
      </w:pPr>
      <w:r>
        <w:t xml:space="preserve">YoY Growth</w:t>
      </w:r>
    </w:p>
    <w:p>
      <w:pPr>
        <w:pStyle w:val="BodyText"/>
      </w:pPr>
      <w:r>
        <w:t xml:space="preserve">Teacher Secondary Digital Platform Subscription</w:t>
      </w:r>
    </w:p>
    <w:p>
      <w:pPr>
        <w:pStyle w:val="BodyText"/>
      </w:pPr>
      <w:r>
        <w:t xml:space="preserve">248,500</w:t>
      </w:r>
    </w:p>
    <w:p>
      <w:pPr>
        <w:pStyle w:val="BodyText"/>
      </w:pPr>
      <w:r>
        <w:t xml:space="preserve">63.2%</w:t>
      </w:r>
    </w:p>
    <w:p>
      <w:pPr>
        <w:pStyle w:val="BodyText"/>
      </w:pPr>
      <w:r>
        <w:t xml:space="preserve">+21.5%</w:t>
      </w:r>
    </w:p>
    <w:p>
      <w:pPr>
        <w:pStyle w:val="BodyText"/>
      </w:pPr>
      <w:r>
        <w:t xml:space="preserve">Curriculum Mapping Workshops (Milan-Specific)</w:t>
      </w:r>
    </w:p>
    <w:p>
      <w:pPr>
        <w:pStyle w:val="BodyText"/>
      </w:pPr>
      <w:r>
        <w:t xml:space="preserve">87,300</w:t>
      </w:r>
    </w:p>
    <w:p>
      <w:pPr>
        <w:pStyle w:val="BodyText"/>
      </w:pPr>
      <w:r>
        <w:t xml:space="preserve">22.1%</w:t>
      </w:r>
    </w:p>
    <w:p>
      <w:pPr>
        <w:pStyle w:val="BodyText"/>
      </w:pPr>
      <w:r>
        <w:t xml:space="preserve">+34.7%</w:t>
      </w:r>
    </w:p>
    <w:p>
      <w:pPr>
        <w:pStyle w:val="BodyText"/>
      </w:pPr>
      <w:r>
        <w:t xml:space="preserve">Digital Resource Bundles for STEM Teachers</w:t>
      </w:r>
    </w:p>
    <w:p>
      <w:pPr>
        <w:pStyle w:val="BodyText"/>
      </w:pPr>
      <w:r>
        <w:t xml:space="preserve">52,600</w:t>
      </w:r>
    </w:p>
    <w:p>
      <w:pPr>
        <w:pStyle w:val="BodyText"/>
      </w:pPr>
      <w:r>
        <w:t xml:space="preserve">13.4%</w:t>
      </w:r>
    </w:p>
    <w:p>
      <w:pPr>
        <w:pStyle w:val="BodyText"/>
      </w:pPr>
      <w:r>
        <w:t xml:space="preserve">+18.9%</w:t>
      </w:r>
    </w:p>
    <w:p>
      <w:pPr>
        <w:pStyle w:val="BodyText"/>
      </w:pPr>
      <w:r>
        <w:t xml:space="preserve">Total Milan Revenue</w:t>
      </w:r>
    </w:p>
    <w:p>
      <w:pPr>
        <w:pStyle w:val="BodyText"/>
      </w:pPr>
      <w:r>
        <w:t xml:space="preserve">388,400</w:t>
      </w:r>
    </w:p>
    <w:p>
      <w:pPr>
        <w:pStyle w:val="BodyText"/>
      </w:pPr>
      <w:r>
        <w:t xml:space="preserve">100%</w:t>
      </w:r>
    </w:p>
    <w:p>
      <w:pPr>
        <w:pStyle w:val="BodyText"/>
      </w:pPr>
      <w:r>
        <w:t xml:space="preserve">+17.8%</w:t>
      </w:r>
    </w:p>
    <w:p>
      <w:pPr>
        <w:pStyle w:val="BodyText"/>
      </w:pPr>
      <w:r>
        <w:t xml:space="preserve">The Teacher Secondary Digital Platform subscription continues to dominate Milan sales, reflecting our core value proposition of streamlining lesson planning for secondary educators. Notably, the Milan-specific curriculum workshops achieved exceptional growth (34.7% YoY), directly responding to the 2023 Lombardy education ministerial directive requiring all secondary teachers to complete digital pedagogy certification by 2025.</w:t>
      </w:r>
    </w:p>
    <w:bookmarkStart w:id="23" w:name="X7fdc5b941cdd0ac20b7d8ffe49d3b543ecc3f8d"/>
    <w:p>
      <w:pPr>
        <w:pStyle w:val="Heading3"/>
      </w:pPr>
      <w:r>
        <w:t xml:space="preserve">Regional Sales Breakdown (Italy Milan vs. National Average):</w:t>
      </w:r>
    </w:p>
    <w:p>
      <w:pPr>
        <w:numPr>
          <w:ilvl w:val="0"/>
          <w:numId w:val="1002"/>
        </w:numPr>
        <w:pStyle w:val="Compact"/>
      </w:pPr>
      <w:r>
        <w:rPr>
          <w:bCs/>
          <w:b/>
        </w:rPr>
        <w:t xml:space="preserve">Milan Conversion Rate:</w:t>
      </w:r>
      <w:r>
        <w:t xml:space="preserve"> </w:t>
      </w:r>
      <w:r>
        <w:t xml:space="preserve">18.7% (vs national average of 14.2%) - attributed to localized sales team and school partnerships</w:t>
      </w:r>
    </w:p>
    <w:p>
      <w:pPr>
        <w:numPr>
          <w:ilvl w:val="0"/>
          <w:numId w:val="1002"/>
        </w:numPr>
        <w:pStyle w:val="Compact"/>
      </w:pPr>
      <w:r>
        <w:rPr>
          <w:bCs/>
          <w:b/>
        </w:rPr>
        <w:t xml:space="preserve">Average Contract Value:</w:t>
      </w:r>
      <w:r>
        <w:t xml:space="preserve"> </w:t>
      </w:r>
      <w:r>
        <w:t xml:space="preserve">€5,800 per Milan secondary school (vs €4,200 nationally)</w:t>
      </w:r>
    </w:p>
    <w:p>
      <w:pPr>
        <w:numPr>
          <w:ilvl w:val="0"/>
          <w:numId w:val="1002"/>
        </w:numPr>
        <w:pStyle w:val="Compact"/>
      </w:pPr>
      <w:r>
        <w:rPr>
          <w:bCs/>
          <w:b/>
        </w:rPr>
        <w:t xml:space="preserve">Customer Retention:</w:t>
      </w:r>
      <w:r>
        <w:t xml:space="preserve"> </w:t>
      </w:r>
      <w:r>
        <w:t xml:space="preserve">92% in Milan vs 85% national - driven by our Teacher Secondary "Milan Support Hub" offering after-hours technical assistance</w:t>
      </w:r>
    </w:p>
    <w:bookmarkEnd w:id="23"/>
    <w:bookmarkEnd w:id="24"/>
    <w:bookmarkStart w:id="28" w:name="X6241bd0413dec6514ebae98b59e6bfd0c518d47"/>
    <w:p>
      <w:pPr>
        <w:pStyle w:val="Heading2"/>
      </w:pPr>
      <w:r>
        <w:t xml:space="preserve">IV. Strategic Initiatives Driving Success in Italy Milan</w:t>
      </w:r>
    </w:p>
    <w:p>
      <w:pPr>
        <w:pStyle w:val="FirstParagraph"/>
      </w:pPr>
      <w:r>
        <w:t xml:space="preserve">The remarkable performance of Teacher Secondary solutions in Italy's most dynamic educational market stems from three targeted initiatives:</w:t>
      </w:r>
    </w:p>
    <w:bookmarkStart w:id="25" w:name="milan-curriculum-integration-project"/>
    <w:p>
      <w:pPr>
        <w:pStyle w:val="Heading3"/>
      </w:pPr>
      <w:r>
        <w:t xml:space="preserve">1. Milan Curriculum Integration Project</w:t>
      </w:r>
    </w:p>
    <w:p>
      <w:pPr>
        <w:pStyle w:val="FirstParagraph"/>
      </w:pPr>
      <w:r>
        <w:t xml:space="preserve">Collaborating with 18 Milan school districts to embed Teacher Secondary tools directly into official lesson templates for Italian secondary subjects (History, Chemistry, Economics). This initiative resulted in 27 new institutional contracts in Q3 alone—a 40% increase from Q2. The success has prompted the Lombardy Ministry of Education to request a pilot program for all Milan secondary schools by Q1 2024.</w:t>
      </w:r>
    </w:p>
    <w:bookmarkEnd w:id="25"/>
    <w:bookmarkStart w:id="26" w:name="teacher-secondary-milan-mentor-network"/>
    <w:p>
      <w:pPr>
        <w:pStyle w:val="Heading3"/>
      </w:pPr>
      <w:r>
        <w:t xml:space="preserve">2. Teacher Secondary "Milan Mentor Network"</w:t>
      </w:r>
    </w:p>
    <w:p>
      <w:pPr>
        <w:pStyle w:val="FirstParagraph"/>
      </w:pPr>
      <w:r>
        <w:t xml:space="preserve">Established a peer-to-peer support system where 87 certified Milan secondary teachers serve as on-the-ground advocates. This community-driven approach increased sales conversion by 28% in schools within the City of Milan proper (vs suburbs), proving the value of hyper-local teacher leadership.</w:t>
      </w:r>
    </w:p>
    <w:bookmarkEnd w:id="26"/>
    <w:bookmarkStart w:id="27" w:name="digital-transformation-partnerships"/>
    <w:p>
      <w:pPr>
        <w:pStyle w:val="Heading3"/>
      </w:pPr>
      <w:r>
        <w:t xml:space="preserve">3. Digital Transformation Partnerships</w:t>
      </w:r>
    </w:p>
    <w:p>
      <w:pPr>
        <w:pStyle w:val="FirstParagraph"/>
      </w:pPr>
      <w:r>
        <w:t xml:space="preserve">Strategic alliance with Milan's leading EdTech firms (e.g., Cineca, Sapienza University Labs) to co-develop AI-powered assessment tools specifically for secondary-level Italian curricula. These integrated solutions contributed €122,000 in Q3 revenue and positioned Teacher Secondary as the preferred platform for Milan's digital education ecosystem.</w:t>
      </w:r>
    </w:p>
    <w:bookmarkEnd w:id="27"/>
    <w:bookmarkEnd w:id="28"/>
    <w:bookmarkStart w:id="29" w:name="X52b0365d08d35a0dae3dde3b4f93c5f4a1a4720"/>
    <w:p>
      <w:pPr>
        <w:pStyle w:val="Heading2"/>
      </w:pPr>
      <w:r>
        <w:t xml:space="preserve">V. Challenges and Market Insights: Italy Milan Specifics</w:t>
      </w:r>
    </w:p>
    <w:p>
      <w:pPr>
        <w:pStyle w:val="FirstParagraph"/>
      </w:pPr>
      <w:r>
        <w:t xml:space="preserve">While results are robust, two regional challenges require attention:</w:t>
      </w:r>
    </w:p>
    <w:p>
      <w:pPr>
        <w:numPr>
          <w:ilvl w:val="0"/>
          <w:numId w:val="1003"/>
        </w:numPr>
        <w:pStyle w:val="Compact"/>
      </w:pPr>
      <w:r>
        <w:rPr>
          <w:bCs/>
          <w:b/>
        </w:rPr>
        <w:t xml:space="preserve">Bureaucratic Procurement Cycles:</w:t>
      </w:r>
      <w:r>
        <w:t xml:space="preserve"> </w:t>
      </w:r>
      <w:r>
        <w:t xml:space="preserve">Milan school district contracts now require 45-day compliance reviews with Lombardy education authorities (up from 30 days in 2022). We've mitigated this through dedicated Milan procurement liaison, reducing approval timelines by 37%.</w:t>
      </w:r>
    </w:p>
    <w:p>
      <w:pPr>
        <w:numPr>
          <w:ilvl w:val="0"/>
          <w:numId w:val="1003"/>
        </w:numPr>
        <w:pStyle w:val="Compact"/>
      </w:pPr>
      <w:r>
        <w:rPr>
          <w:bCs/>
          <w:b/>
        </w:rPr>
        <w:t xml:space="preserve">Competitor Pressure:</w:t>
      </w:r>
      <w:r>
        <w:t xml:space="preserve"> </w:t>
      </w:r>
      <w:r>
        <w:t xml:space="preserve">Italian edtech firm "EduLombardia" has aggressively targeted Milan schools with subsidized packages. Our Teacher Secondary advantage lies in superior secondary-specific content (validated by Milan School Inspectorate reports) and our teacher-led training model.</w:t>
      </w:r>
    </w:p>
    <w:p>
      <w:pPr>
        <w:pStyle w:val="FirstParagraph"/>
      </w:pPr>
      <w:r>
        <w:t xml:space="preserve">Analysis reveals that 68% of Milan secondary school principals cite "content alignment with regional curriculum" as the top purchase factor—confirming our strategic focus on Teacher Secondary's localized educational framework integration as a key differentiator.</w:t>
      </w:r>
    </w:p>
    <w:bookmarkEnd w:id="29"/>
    <w:bookmarkStart w:id="30" w:name="Xea6fdcb9511c353f37127c06022676464c767e7"/>
    <w:p>
      <w:pPr>
        <w:pStyle w:val="Heading2"/>
      </w:pPr>
      <w:r>
        <w:t xml:space="preserve">VI. Q4 Outlook and Strategic Recommendations</w:t>
      </w:r>
    </w:p>
    <w:p>
      <w:pPr>
        <w:pStyle w:val="FirstParagraph"/>
      </w:pPr>
      <w:r>
        <w:t xml:space="preserve">The positive momentum in Italy Milan markets validates our investment in secondary education specialization. We project Q4 2023 revenue to exceed €510,000 (17% growth over Q3) through three initiatives:</w:t>
      </w:r>
    </w:p>
    <w:p>
      <w:pPr>
        <w:numPr>
          <w:ilvl w:val="0"/>
          <w:numId w:val="1004"/>
        </w:numPr>
        <w:pStyle w:val="Compact"/>
      </w:pPr>
      <w:r>
        <w:rPr>
          <w:bCs/>
          <w:b/>
        </w:rPr>
        <w:t xml:space="preserve">Expansion into Milan's Vocational Secondary Schools:</w:t>
      </w:r>
      <w:r>
        <w:t xml:space="preserve"> </w:t>
      </w:r>
      <w:r>
        <w:t xml:space="preserve">Targeting 25 new contracts in Technical Institutes (ITIS) with industry-aligned Teacher Secondary modules</w:t>
      </w:r>
    </w:p>
    <w:p>
      <w:pPr>
        <w:numPr>
          <w:ilvl w:val="0"/>
          <w:numId w:val="1004"/>
        </w:numPr>
        <w:pStyle w:val="Compact"/>
      </w:pPr>
      <w:r>
        <w:rPr>
          <w:bCs/>
          <w:b/>
        </w:rPr>
        <w:t xml:space="preserve">Teacher Secondary "Milan Digital Certification" Program:</w:t>
      </w:r>
      <w:r>
        <w:t xml:space="preserve"> </w:t>
      </w:r>
      <w:r>
        <w:t xml:space="preserve">Launching a certified micro-credential for educators using our platform, aligned with Lombardy's teacher development standards</w:t>
      </w:r>
    </w:p>
    <w:p>
      <w:pPr>
        <w:numPr>
          <w:ilvl w:val="0"/>
          <w:numId w:val="1004"/>
        </w:numPr>
        <w:pStyle w:val="Compact"/>
      </w:pPr>
      <w:r>
        <w:rPr>
          <w:bCs/>
          <w:b/>
        </w:rPr>
        <w:t xml:space="preserve">Predictive Analytics Integration:</w:t>
      </w:r>
      <w:r>
        <w:t xml:space="preserve"> </w:t>
      </w:r>
      <w:r>
        <w:t xml:space="preserve">Deploying AI-driven student performance insights tailored to Milan secondary curriculum patterns (Q1 2024 launch)</w:t>
      </w:r>
    </w:p>
    <w:p>
      <w:pPr>
        <w:pStyle w:val="FirstParagraph"/>
      </w:pPr>
      <w:r>
        <w:t xml:space="preserve">Crucially, we recommend doubling down on the Teacher Secondary "Milan Ecosystem" strategy. By deepening partnerships with key Milan education stakeholders—including the City of Milan Education Department and regional university networks—we project capturing 38% market share in Lombardy's secondary sector by Q2 2024.</w:t>
      </w:r>
    </w:p>
    <w:bookmarkEnd w:id="30"/>
    <w:bookmarkStart w:id="31" w:name="vii.-conclusion"/>
    <w:p>
      <w:pPr>
        <w:pStyle w:val="Heading2"/>
      </w:pPr>
      <w:r>
        <w:t xml:space="preserve">VII. Conclusion</w:t>
      </w:r>
    </w:p>
    <w:p>
      <w:pPr>
        <w:pStyle w:val="FirstParagraph"/>
      </w:pPr>
      <w:r>
        <w:t xml:space="preserve">The Q3 Sales Report for Teacher Secondary solutions in Italy Milan underscores a compelling success story of strategic localization meeting educational need. With our platform now embedded in over 78 Milan secondary schools (up from 59 at end-Q2), the data confirms that Teacher Secondary has become an indispensable tool for secondary educators navigating Italy's evolving pedagogical landscape. As we move into Q4, this metropolitan market will remain our flagship region for demonstrating how hyper-focused educational technology can drive measurable impact in Italy's most complex urban education environment.</w:t>
      </w:r>
    </w:p>
    <w:p>
      <w:pPr>
        <w:pStyle w:val="BodyText"/>
      </w:pPr>
      <w:r>
        <w:rPr>
          <w:bCs/>
          <w:b/>
        </w:rPr>
        <w:t xml:space="preserve">Prepared by:</w:t>
      </w:r>
      <w:r>
        <w:t xml:space="preserve"> </w:t>
      </w:r>
      <w:r>
        <w:t xml:space="preserve">Regional Sales Director, Teacher Secondary Europe</w:t>
      </w:r>
      <w:r>
        <w:br/>
      </w:r>
      <w:r>
        <w:rPr>
          <w:bCs/>
          <w:b/>
        </w:rPr>
        <w:t xml:space="preserve">Key Metric Verification:</w:t>
      </w:r>
      <w:r>
        <w:t xml:space="preserve"> </w:t>
      </w:r>
      <w:r>
        <w:t xml:space="preserve">388,400 € Milan revenue (Q3 2023) validated against Lombardy Education Authority procurement databases and internal CRM analytics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Italy Milan Market Analysis</dc:title>
  <dc:creator/>
  <dc:language>en</dc:language>
  <cp:keywords/>
  <dcterms:created xsi:type="dcterms:W3CDTF">2025-12-10T07:02:25Z</dcterms:created>
  <dcterms:modified xsi:type="dcterms:W3CDTF">2025-12-10T07:02:25Z</dcterms:modified>
</cp:coreProperties>
</file>

<file path=docProps/custom.xml><?xml version="1.0" encoding="utf-8"?>
<Properties xmlns="http://schemas.openxmlformats.org/officeDocument/2006/custom-properties" xmlns:vt="http://schemas.openxmlformats.org/officeDocument/2006/docPropsVTypes"/>
</file>