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Programs</w:t>
      </w:r>
      <w:r>
        <w:t xml:space="preserve"> </w:t>
      </w:r>
      <w:r>
        <w:t xml:space="preserve">in</w:t>
      </w:r>
      <w:r>
        <w:t xml:space="preserve"> </w:t>
      </w:r>
      <w:r>
        <w:t xml:space="preserve">Italy</w:t>
      </w:r>
      <w:r>
        <w:t xml:space="preserve"> </w:t>
      </w:r>
      <w:r>
        <w:t xml:space="preserve">Naples</w:t>
      </w:r>
    </w:p>
    <w:bookmarkStart w:id="30" w:name="X4f008442ef773c55c672147808fc93dcb4ab1fb"/>
    <w:p>
      <w:pPr>
        <w:pStyle w:val="Heading1"/>
      </w:pPr>
      <w:r>
        <w:t xml:space="preserve">Comprehensive Sales Report: Teacher Secondary Programs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 Solutions Division, National Educational Services (NES)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Teacher Secondary training programs across Italy Naples, highlighting significant growth in educational service adoption. The market response to specialized secondary education teacher development initiatives has exceeded projections by 28% in the Naples region alone, marking a pivotal moment for educational transformation in Southern Italy. This document underscores how strategic alignment with local pedagogical needs and cultural context has driven exceptional sales results for our Teacher Secondary portfolio within Italy Naples.</w:t>
      </w:r>
    </w:p>
    <w:bookmarkEnd w:id="20"/>
    <w:bookmarkStart w:id="22" w:name="X87b011fa7e6f4251fb7510dabac8f7eb54f2ee9"/>
    <w:p>
      <w:pPr>
        <w:pStyle w:val="Heading2"/>
      </w:pPr>
      <w:r>
        <w:t xml:space="preserve">II. Market Context: Teacher Secondary Landscape in Italy Naples</w:t>
      </w:r>
    </w:p>
    <w:p>
      <w:pPr>
        <w:pStyle w:val="FirstParagraph"/>
      </w:pPr>
      <w:r>
        <w:t xml:space="preserve">Naples represents a critical educational hub in Southern Italy, housing 142 secondary schools (scuole secondarie) serving over 85,000 students. The regional education authority has prioritized modernizing secondary teacher competencies following national curriculum reforms. Our analysis reveals that 76% of Naples' secondary schools identified professional development as their top strategic priority for 2023-24—directly aligning with our Teacher Secondary service offerings. This context created a fertile ground for our targeted Sales Report findings, where we observed unprecedented demand for specialized teacher training solutions tailored to Naples' unique socio-educational challenges.</w:t>
      </w:r>
    </w:p>
    <w:bookmarkStart w:id="21" w:name="key-regional-challenges-driving-demand"/>
    <w:p>
      <w:pPr>
        <w:pStyle w:val="Heading3"/>
      </w:pPr>
      <w:r>
        <w:t xml:space="preserve">Key Regional Challenges Driving Demand:</w:t>
      </w:r>
    </w:p>
    <w:p>
      <w:pPr>
        <w:numPr>
          <w:ilvl w:val="0"/>
          <w:numId w:val="1001"/>
        </w:numPr>
        <w:pStyle w:val="Compact"/>
      </w:pPr>
      <w:r>
        <w:rPr>
          <w:bCs/>
          <w:b/>
        </w:rPr>
        <w:t xml:space="preserve">Resource Constraints:</w:t>
      </w:r>
      <w:r>
        <w:t xml:space="preserve"> </w:t>
      </w:r>
      <w:r>
        <w:t xml:space="preserve">42% of Naples secondary schools report inadequate digital infrastructure for modern teaching</w:t>
      </w:r>
    </w:p>
    <w:p>
      <w:pPr>
        <w:numPr>
          <w:ilvl w:val="0"/>
          <w:numId w:val="1001"/>
        </w:numPr>
        <w:pStyle w:val="Compact"/>
      </w:pPr>
      <w:r>
        <w:rPr>
          <w:bCs/>
          <w:b/>
        </w:rPr>
        <w:t xml:space="preserve">Cultural Diversity:</w:t>
      </w:r>
      <w:r>
        <w:t xml:space="preserve"> </w:t>
      </w:r>
      <w:r>
        <w:t xml:space="preserve">18% student population in Naples public schools consists of immigrant backgrounds requiring culturally responsive pedagogy</w:t>
      </w:r>
    </w:p>
    <w:p>
      <w:pPr>
        <w:numPr>
          <w:ilvl w:val="0"/>
          <w:numId w:val="1001"/>
        </w:numPr>
        <w:pStyle w:val="Compact"/>
      </w:pPr>
      <w:r>
        <w:rPr>
          <w:bCs/>
          <w:b/>
        </w:rPr>
        <w:t xml:space="preserve">Pedagogical Shifts:</w:t>
      </w:r>
      <w:r>
        <w:t xml:space="preserve"> </w:t>
      </w:r>
      <w:r>
        <w:t xml:space="preserve">National emphasis on STEM integration and project-based learning in secondary education (Licei, Istituti Tecnici)</w:t>
      </w:r>
    </w:p>
    <w:bookmarkEnd w:id="21"/>
    <w:bookmarkEnd w:id="22"/>
    <w:bookmarkStart w:id="24" w:name="Xd36e81b1ed808c4bfbbf5ea08bcebfe8952d5cd"/>
    <w:p>
      <w:pPr>
        <w:pStyle w:val="Heading2"/>
      </w:pPr>
      <w:r>
        <w:t xml:space="preserve">III. Sales Performance: Teacher Secondary Program Results</w:t>
      </w:r>
    </w:p>
    <w:p>
      <w:pPr>
        <w:pStyle w:val="FirstParagraph"/>
      </w:pPr>
      <w:r>
        <w:t xml:space="preserve">The Q3 2023 sales cycle for Teacher Secondary programs in Italy Naples achieved remarkable milestones:</w:t>
      </w:r>
    </w:p>
    <w:p>
      <w:pPr>
        <w:pStyle w:val="BodyText"/>
      </w:pPr>
      <w:r>
        <w:t xml:space="preserve">Program Type</w:t>
      </w:r>
    </w:p>
    <w:p>
      <w:pPr>
        <w:pStyle w:val="BodyText"/>
      </w:pPr>
      <w:r>
        <w:t xml:space="preserve">Units Sold (Q3)</w:t>
      </w:r>
    </w:p>
    <w:p>
      <w:pPr>
        <w:pStyle w:val="BodyText"/>
      </w:pPr>
      <w:r>
        <w:t xml:space="preserve">% Growth vs Q2</w:t>
      </w:r>
    </w:p>
    <w:p>
      <w:pPr>
        <w:pStyle w:val="BodyText"/>
      </w:pPr>
      <w:r>
        <w:t xml:space="preserve">Avg. Deal Value (€)</w:t>
      </w:r>
    </w:p>
    <w:p>
      <w:pPr>
        <w:pStyle w:val="BodyText"/>
      </w:pPr>
      <w:r>
        <w:t xml:space="preserve">Digital Pedagogy Certification</w:t>
      </w:r>
    </w:p>
    <w:p>
      <w:pPr>
        <w:pStyle w:val="BodyText"/>
      </w:pPr>
      <w:r>
        <w:t xml:space="preserve">147</w:t>
      </w:r>
    </w:p>
    <w:p>
      <w:pPr>
        <w:pStyle w:val="BodyText"/>
      </w:pPr>
      <w:r>
        <w:t xml:space="preserve">38%</w:t>
      </w:r>
    </w:p>
    <w:p>
      <w:pPr>
        <w:pStyle w:val="BodyText"/>
      </w:pPr>
      <w:r>
        <w:t xml:space="preserve">3,200</w:t>
      </w:r>
    </w:p>
    <w:p>
      <w:pPr>
        <w:pStyle w:val="BodyText"/>
      </w:pPr>
      <w:r>
        <w:t xml:space="preserve">Cultural Inclusion Training</w:t>
      </w:r>
    </w:p>
    <w:p>
      <w:pPr>
        <w:pStyle w:val="BodyText"/>
      </w:pPr>
      <w:r>
        <w:t xml:space="preserve">98</w:t>
      </w:r>
    </w:p>
    <w:p>
      <w:pPr>
        <w:pStyle w:val="BodyText"/>
      </w:pPr>
      <w:r>
        <w:rPr>
          <w:bCs/>
          <w:b/>
        </w:rPr>
        <w:t xml:space="preserve">Total Teacher Secondary Sales (Italy Naples)</w:t>
      </w:r>
    </w:p>
    <w:p>
      <w:pPr>
        <w:pStyle w:val="BodyText"/>
      </w:pPr>
      <w:r>
        <w:t xml:space="preserve">245 programs sold</w:t>
      </w:r>
    </w:p>
    <w:p>
      <w:pPr>
        <w:pStyle w:val="BodyText"/>
      </w:pPr>
      <w:r>
        <w:t xml:space="preserve">€786,000 revenue (+32% YoY)</w:t>
      </w:r>
    </w:p>
    <w:bookmarkStart w:id="23" w:name="notable-achievement"/>
    <w:p>
      <w:pPr>
        <w:pStyle w:val="Heading3"/>
      </w:pPr>
      <w:r>
        <w:t xml:space="preserve">Notable Achievement:</w:t>
      </w:r>
    </w:p>
    <w:p>
      <w:pPr>
        <w:pStyle w:val="FirstParagraph"/>
      </w:pPr>
      <w:r>
        <w:t xml:space="preserve">The Naples Municipal School System (Città di Napoli) signed a €185,000 multi-year contract for our "Teacher Secondary Excellence" program—representing 24% of all Q3 revenue in Italy Naples. This landmark deal, secured through direct engagement with the regional education office, demonstrates how our sales strategy has effectively addressed Naples' specific educational priorities.</w:t>
      </w:r>
    </w:p>
    <w:bookmarkEnd w:id="23"/>
    <w:bookmarkEnd w:id="24"/>
    <w:bookmarkStart w:id="25" w:name="Xf1fa0232c8d1f30b933d1fa8ea3472cd12a83f2"/>
    <w:p>
      <w:pPr>
        <w:pStyle w:val="Heading2"/>
      </w:pPr>
      <w:r>
        <w:t xml:space="preserve">IV. Sales Strategy Analysis: Why Italy Naples Responded</w:t>
      </w:r>
    </w:p>
    <w:p>
      <w:pPr>
        <w:pStyle w:val="FirstParagraph"/>
      </w:pPr>
      <w:r>
        <w:t xml:space="preserve">Our successful penetration of the Teacher Secondary market in Italy Naples resulted from three key strategic pillars:</w:t>
      </w:r>
    </w:p>
    <w:p>
      <w:pPr>
        <w:numPr>
          <w:ilvl w:val="0"/>
          <w:numId w:val="1002"/>
        </w:numPr>
        <w:pStyle w:val="Compact"/>
      </w:pPr>
      <w:r>
        <w:rPr>
          <w:bCs/>
          <w:b/>
        </w:rPr>
        <w:t xml:space="preserve">Cultural Localization:</w:t>
      </w:r>
      <w:r>
        <w:t xml:space="preserve"> </w:t>
      </w:r>
      <w:r>
        <w:t xml:space="preserve">All training content was adapted to Naples' educational context, incorporating local case studies (e.g., teaching immigrant students in Quartieri Spagnoli) and utilizing Neapolitan educators as program facilitators. This cultural resonance directly addressed a critical gap identified in our preliminary market research.</w:t>
      </w:r>
    </w:p>
    <w:p>
      <w:pPr>
        <w:numPr>
          <w:ilvl w:val="0"/>
          <w:numId w:val="1002"/>
        </w:numPr>
        <w:pStyle w:val="Compact"/>
      </w:pPr>
      <w:r>
        <w:rPr>
          <w:bCs/>
          <w:b/>
        </w:rPr>
        <w:t xml:space="preserve">Regulatory Alignment:</w:t>
      </w:r>
      <w:r>
        <w:t xml:space="preserve"> </w:t>
      </w:r>
      <w:r>
        <w:t xml:space="preserve">Our Teacher Secondary certification programs were explicitly mapped to the Italian Ministry of Education's 2023 "Piano Scuola Digitale" requirements, making them mandatory for school accreditation in Naples. This compliance-driven positioning accelerated adoption decisions at the district level.</w:t>
      </w:r>
    </w:p>
    <w:p>
      <w:pPr>
        <w:numPr>
          <w:ilvl w:val="0"/>
          <w:numId w:val="1002"/>
        </w:numPr>
        <w:pStyle w:val="Compact"/>
      </w:pPr>
      <w:r>
        <w:rPr>
          <w:bCs/>
          <w:b/>
        </w:rPr>
        <w:t xml:space="preserve">Stakeholder Engagement:</w:t>
      </w:r>
      <w:r>
        <w:t xml:space="preserve"> </w:t>
      </w:r>
      <w:r>
        <w:t xml:space="preserve">We implemented a Naples-specific sales approach involving joint workshops with the Campania Region's Education Department and local university partnerships (University of Naples Federico II), creating trusted referral channels absent in previous market attempts.</w:t>
      </w:r>
    </w:p>
    <w:bookmarkEnd w:id="25"/>
    <w:bookmarkStart w:id="26" w:name="v.-regional-impact-assessment"/>
    <w:p>
      <w:pPr>
        <w:pStyle w:val="Heading2"/>
      </w:pPr>
      <w:r>
        <w:t xml:space="preserve">V. Regional Impact Assessment</w:t>
      </w:r>
    </w:p>
    <w:p>
      <w:pPr>
        <w:pStyle w:val="FirstParagraph"/>
      </w:pPr>
      <w:r>
        <w:t xml:space="preserve">Measuring beyond revenue, our Teacher Secondary programs have generated significant educational impact across Italy Naples:</w:t>
      </w:r>
    </w:p>
    <w:p>
      <w:pPr>
        <w:numPr>
          <w:ilvl w:val="0"/>
          <w:numId w:val="1003"/>
        </w:numPr>
        <w:pStyle w:val="Compact"/>
      </w:pPr>
      <w:r>
        <w:rPr>
          <w:bCs/>
          <w:b/>
        </w:rPr>
        <w:t xml:space="preserve">Teacher Capacity:</w:t>
      </w:r>
      <w:r>
        <w:t xml:space="preserve"> </w:t>
      </w:r>
      <w:r>
        <w:t xml:space="preserve">415 secondary teachers trained in Naples during Q3 (up from 289 in Q2), directly supporting the region's goal of upskilling 5,000 secondary educators by 2025</w:t>
      </w:r>
    </w:p>
    <w:p>
      <w:pPr>
        <w:numPr>
          <w:ilvl w:val="0"/>
          <w:numId w:val="1003"/>
        </w:numPr>
        <w:pStyle w:val="Compact"/>
      </w:pPr>
      <w:r>
        <w:rPr>
          <w:bCs/>
          <w:b/>
        </w:rPr>
        <w:t xml:space="preserve">School Outcomes:</w:t>
      </w:r>
      <w:r>
        <w:t xml:space="preserve"> </w:t>
      </w:r>
      <w:r>
        <w:t xml:space="preserve">Early adopter schools report 17% improvement in student engagement scores in STEM subjects after implementing our digital pedagogy frameworks</w:t>
      </w:r>
    </w:p>
    <w:p>
      <w:pPr>
        <w:numPr>
          <w:ilvl w:val="0"/>
          <w:numId w:val="1003"/>
        </w:numPr>
        <w:pStyle w:val="Compact"/>
      </w:pPr>
      <w:r>
        <w:rPr>
          <w:bCs/>
          <w:b/>
        </w:rPr>
        <w:t xml:space="preserve">Community Value:</w:t>
      </w:r>
      <w:r>
        <w:t xml:space="preserve"> </w:t>
      </w:r>
      <w:r>
        <w:t xml:space="preserve">Partnerships with Naples' "Scuola Aperta" community initiative have expanded access to Teacher Secondary training for 85% of educators in underserved districts (e.g., Massa di Somma, Vomero)</w:t>
      </w:r>
    </w:p>
    <w:bookmarkEnd w:id="26"/>
    <w:bookmarkStart w:id="27" w:name="vi.-challenges-strategic-recommendations"/>
    <w:p>
      <w:pPr>
        <w:pStyle w:val="Heading2"/>
      </w:pPr>
      <w:r>
        <w:t xml:space="preserve">VI. Challenges &amp; Strategic Recommendations</w:t>
      </w:r>
    </w:p>
    <w:p>
      <w:pPr>
        <w:pStyle w:val="FirstParagraph"/>
      </w:pPr>
      <w:r>
        <w:t xml:space="preserve">While results are strong, two challenges require attention for sustained growth in Italy Naples:</w:t>
      </w:r>
    </w:p>
    <w:p>
      <w:pPr>
        <w:numPr>
          <w:ilvl w:val="0"/>
          <w:numId w:val="1004"/>
        </w:numPr>
        <w:pStyle w:val="Compact"/>
      </w:pPr>
      <w:r>
        <w:rPr>
          <w:bCs/>
          <w:b/>
        </w:rPr>
        <w:t xml:space="preserve">Resource Allocation:</w:t>
      </w:r>
      <w:r>
        <w:t xml:space="preserve"> </w:t>
      </w:r>
      <w:r>
        <w:t xml:space="preserve">High demand has strained our Naples training capacity. Recommendation: Establish a dedicated Teacher Secondary training hub at the University of Naples Federico II campus by Q1 2024.</w:t>
      </w:r>
    </w:p>
    <w:p>
      <w:pPr>
        <w:numPr>
          <w:ilvl w:val="0"/>
          <w:numId w:val="1004"/>
        </w:numPr>
        <w:pStyle w:val="Compact"/>
      </w:pPr>
      <w:r>
        <w:rPr>
          <w:bCs/>
          <w:b/>
        </w:rPr>
        <w:t xml:space="preserve">Funding Cycles:</w:t>
      </w:r>
      <w:r>
        <w:t xml:space="preserve"> </w:t>
      </w:r>
      <w:r>
        <w:t xml:space="preserve">School budgets operate on academic-year cycles, creating sales volatility. Recommendation: Develop "phased enrollment" options for Teacher Secondary programs with multi-term payment plans to align with school fiscal calendars.</w:t>
      </w:r>
    </w:p>
    <w:bookmarkEnd w:id="27"/>
    <w:bookmarkStart w:id="28" w:name="vii.-conclusion-the-naples-imperative"/>
    <w:p>
      <w:pPr>
        <w:pStyle w:val="Heading2"/>
      </w:pPr>
      <w:r>
        <w:t xml:space="preserve">VII. Conclusion: The Naples Imperative</w:t>
      </w:r>
    </w:p>
    <w:p>
      <w:pPr>
        <w:pStyle w:val="FirstParagraph"/>
      </w:pPr>
      <w:r>
        <w:t xml:space="preserve">This Sales Report confirms that the Teacher Secondary market in Italy Naples is not just profitable—it's transformative. Our success demonstrates that when educational solutions are deeply rooted in regional context, they achieve both commercial and societal impact. The €786,000 Q3 revenue in Naples represents more than transactional success; it signifies a strategic shift toward sustainable educational development across Southern Italy.</w:t>
      </w:r>
    </w:p>
    <w:p>
      <w:pPr>
        <w:pStyle w:val="BodyText"/>
      </w:pPr>
      <w:r>
        <w:t xml:space="preserve">As we move into 2024, we recommend doubling down on the Naples model for other Southern Italian regions. The Teacher Secondary program's performance in Italy Naples has set a new benchmark—proving that when sales strategies prioritize pedagogical authenticity over generic solutions, they create lasting value for educators and students alike. Our focus must now be on scaling this proven framework while maintaining the cultural intelligence that made our Sales Report standout in the Naples market.</w:t>
      </w:r>
    </w:p>
    <w:bookmarkEnd w:id="28"/>
    <w:bookmarkStart w:id="29" w:name="viii.-appendices"/>
    <w:p>
      <w:pPr>
        <w:pStyle w:val="Heading2"/>
      </w:pPr>
      <w:r>
        <w:t xml:space="preserve">VIII. Appendices</w:t>
      </w:r>
    </w:p>
    <w:p>
      <w:pPr>
        <w:pStyle w:val="FirstParagraph"/>
      </w:pPr>
      <w:r>
        <w:rPr>
          <w:bCs/>
          <w:b/>
        </w:rPr>
        <w:t xml:space="preserve">Appendix A:</w:t>
      </w:r>
      <w:r>
        <w:t xml:space="preserve"> </w:t>
      </w:r>
      <w:r>
        <w:t xml:space="preserve">Naples School District Engagement Map (Q3 2023)</w:t>
      </w:r>
      <w:r>
        <w:br/>
      </w:r>
      <w:r>
        <w:rPr>
          <w:bCs/>
          <w:b/>
        </w:rPr>
        <w:t xml:space="preserve">Appendix B:</w:t>
      </w:r>
      <w:r>
        <w:t xml:space="preserve"> </w:t>
      </w:r>
      <w:r>
        <w:t xml:space="preserve">Teacher Secondary Program Curriculum Alignment with Italian National Standards</w:t>
      </w:r>
      <w:r>
        <w:br/>
      </w:r>
      <w:r>
        <w:rPr>
          <w:bCs/>
          <w:b/>
        </w:rPr>
        <w:t xml:space="preserve">Appendix C:</w:t>
      </w:r>
      <w:r>
        <w:t xml:space="preserve"> </w:t>
      </w:r>
      <w:r>
        <w:t xml:space="preserve">Testimonials from Naples Educators (Excerpt):</w:t>
      </w:r>
    </w:p>
    <w:p>
      <w:pPr>
        <w:pStyle w:val="BlockText"/>
      </w:pPr>
      <w:r>
        <w:t xml:space="preserve">"This Teacher Secondary training directly addressed our challenges teaching in a multicultural classroom. The Naples-specific examples made the content immediately applicable." – Maria Rossi, Liceo Scientifico di Napoli</w:t>
      </w:r>
    </w:p>
    <w:p>
      <w:pPr>
        <w:pStyle w:val="FirstParagraph"/>
      </w:pPr>
      <w:r>
        <w:rPr>
          <w:iCs/>
          <w:i/>
        </w:rPr>
        <w:t xml:space="preserve">This Sales Report was compiled using data from NES Regional Education Partnerships, Italy Ministry of Education statistics, and direct feedback from 47 participating schools across Naples.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Teacher Secondary Programs in Italy Naples</dc:title>
  <dc:creator/>
  <dc:language>en</dc:language>
  <cp:keywords/>
  <dcterms:created xsi:type="dcterms:W3CDTF">2026-07-23T08:34:11Z</dcterms:created>
  <dcterms:modified xsi:type="dcterms:W3CDTF">2026-07-23T08:34:11Z</dcterms:modified>
</cp:coreProperties>
</file>

<file path=docProps/custom.xml><?xml version="1.0" encoding="utf-8"?>
<Properties xmlns="http://schemas.openxmlformats.org/officeDocument/2006/custom-properties" xmlns:vt="http://schemas.openxmlformats.org/officeDocument/2006/docPropsVTypes"/>
</file>