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Japan</w:t>
      </w:r>
      <w:r>
        <w:t xml:space="preserve"> </w:t>
      </w:r>
      <w:r>
        <w:t xml:space="preserve">Kyoto</w:t>
      </w:r>
    </w:p>
    <w:bookmarkStart w:id="28" w:name="X63e04a4b8e29d2fc3a760ea6a515268e2a12f1a"/>
    <w:p>
      <w:pPr>
        <w:pStyle w:val="Heading1"/>
      </w:pPr>
      <w:r>
        <w:t xml:space="preserve">Sales Report: Strategic Expansion of Teacher Secondary Services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Solutions Executive Board</w:t>
      </w:r>
      <w:r>
        <w:br/>
      </w:r>
      <w:r>
        <w:rPr>
          <w:bCs/>
          <w:b/>
        </w:rPr>
        <w:t xml:space="preserve">Subject:</w:t>
      </w:r>
      <w:r>
        <w:t xml:space="preserve"> </w:t>
      </w:r>
      <w:r>
        <w:t xml:space="preserve">Performance Analysis and Growth Strategy for Teacher Secondary Market in Kyoto, Japan</w:t>
      </w:r>
    </w:p>
    <w:bookmarkStart w:id="20" w:name="i.-executive-summary"/>
    <w:p>
      <w:pPr>
        <w:pStyle w:val="Heading2"/>
      </w:pPr>
      <w:r>
        <w:t xml:space="preserve">I. Executive Summary</w:t>
      </w:r>
    </w:p>
    <w:p>
      <w:pPr>
        <w:pStyle w:val="FirstParagraph"/>
      </w:pPr>
      <w:r>
        <w:t xml:space="preserve">This Sales Report details the performance of our Teacher Secondary service portfolio across Kyoto, Japan during Q1-Q3 2023. The initiative focuses exclusively on delivering specialized educational support for secondary school teachers (grades 7-12) within Kyoto's unique academic ecosystem. Despite Japan's competitive education landscape, we achieved a 42% year-over-year sales growth, securing partnerships with 37 public and private institutions across Kyoto Prefecture. This success demonstrates the strong market demand for our Teacher Secondary solutions in Japan's most culturally rich educational hub. Our strategy leverages Kyoto's emphasis on traditional academic excellence combined with modern pedagogical innovation, positioning us as a critical partner for educators navigating Japan's evolving curriculum standards.</w:t>
      </w:r>
    </w:p>
    <w:bookmarkEnd w:id="20"/>
    <w:bookmarkStart w:id="21" w:name="X520a528951761c4cb032422e8933ddcb7570bdc"/>
    <w:p>
      <w:pPr>
        <w:pStyle w:val="Heading2"/>
      </w:pPr>
      <w:r>
        <w:t xml:space="preserve">II. Market Context: Teacher Secondary Landscape in Japan Kyoto</w:t>
      </w:r>
    </w:p>
    <w:p>
      <w:pPr>
        <w:pStyle w:val="FirstParagraph"/>
      </w:pPr>
      <w:r>
        <w:t xml:space="preserve">Kyoto represents a pivotal market for secondary education services due to its dual identity: preserving ancient scholarly traditions while embracing cutting-edge educational technology. As Japan's cultural capital, Kyoto houses 15% of the nation's secondary schools (384 institutions per Ministry of Education data), with 87% prioritizing teacher professional development in STEM and language arts—aligning perfectly with our Teacher Secondary offerings. The city’s unique blend of historical institutions like Kyoto University-affiliated schools and modern international academies creates a high-value niche. Critically, Japan's 2020 "New Curriculum Guidelines" mandate enhanced teacher training in global competencies, making our Teacher Secondary program an essential compliance solution for Kyoto schools.</w:t>
      </w:r>
    </w:p>
    <w:bookmarkEnd w:id="21"/>
    <w:bookmarkStart w:id="22" w:name="Xca7d63af3c9e6f1641585656933e7be224da42c"/>
    <w:p>
      <w:pPr>
        <w:pStyle w:val="Heading2"/>
      </w:pPr>
      <w:r>
        <w:t xml:space="preserve">III. Sales Performance Highlights (Q1-Q3 2023)</w:t>
      </w:r>
    </w:p>
    <w:p>
      <w:pPr>
        <w:pStyle w:val="FirstParagraph"/>
      </w:pPr>
      <w:r>
        <w:rPr>
          <w:bCs/>
          <w:b/>
        </w:rPr>
        <w:t xml:space="preserve">Revenue Growth:</w:t>
      </w:r>
      <w:r>
        <w:t xml:space="preserve"> </w:t>
      </w:r>
      <w:r>
        <w:t xml:space="preserve">Total sales reached ¥84.7 million (≈$569,000 USD), exceeding targets by 18%. Key drivers included:</w:t>
      </w:r>
    </w:p>
    <w:p>
      <w:pPr>
        <w:numPr>
          <w:ilvl w:val="0"/>
          <w:numId w:val="1001"/>
        </w:numPr>
        <w:pStyle w:val="Compact"/>
      </w:pPr>
      <w:r>
        <w:rPr>
          <w:bCs/>
          <w:b/>
        </w:rPr>
        <w:t xml:space="preserve">Contract Wins:</w:t>
      </w:r>
      <w:r>
        <w:t xml:space="preserve"> </w:t>
      </w:r>
      <w:r>
        <w:t xml:space="preserve">24 new institutional agreements with Kyoto Prefecture schools (including 9 public high schools like Kyoto Municipal Kita High School)</w:t>
      </w:r>
    </w:p>
    <w:p>
      <w:pPr>
        <w:numPr>
          <w:ilvl w:val="0"/>
          <w:numId w:val="1001"/>
        </w:numPr>
        <w:pStyle w:val="Compact"/>
      </w:pPr>
      <w:r>
        <w:rPr>
          <w:bCs/>
          <w:b/>
        </w:rPr>
        <w:t xml:space="preserve">Subscription Uptake:</w:t>
      </w:r>
      <w:r>
        <w:t xml:space="preserve"> </w:t>
      </w:r>
      <w:r>
        <w:t xml:space="preserve">6,300+ Teacher Secondary users enrolled in our digital platform (vs. 4,100 at year-end 2022)</w:t>
      </w:r>
    </w:p>
    <w:p>
      <w:pPr>
        <w:numPr>
          <w:ilvl w:val="0"/>
          <w:numId w:val="1001"/>
        </w:numPr>
        <w:pStyle w:val="Compact"/>
      </w:pPr>
      <w:r>
        <w:rPr>
          <w:bCs/>
          <w:b/>
        </w:rPr>
        <w:t xml:space="preserve">Value-Added Services:</w:t>
      </w:r>
      <w:r>
        <w:t xml:space="preserve"> </w:t>
      </w:r>
      <w:r>
        <w:t xml:space="preserve">Premium training modules for Kyoto-specific challenges (e.g., "Teaching Shinto Philosophy in Modern Classrooms") generated 31% of total revenue</w:t>
      </w:r>
    </w:p>
    <w:p>
      <w:pPr>
        <w:pStyle w:val="FirstParagraph"/>
      </w:pPr>
      <w:r>
        <w:rPr>
          <w:bCs/>
          <w:b/>
        </w:rPr>
        <w:t xml:space="preserve">Regional Breakdown: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Area</w:t>
            </w:r>
          </w:p>
        </w:tc>
        <w:tc>
          <w:tcPr/>
          <w:p>
            <w:pPr>
              <w:pStyle w:val="Compact"/>
              <w:jc w:val="left"/>
            </w:pPr>
            <w:r>
              <w:t xml:space="preserve">Sales Volume</w:t>
            </w:r>
          </w:p>
        </w:tc>
        <w:tc>
          <w:tcPr/>
          <w:p>
            <w:pPr>
              <w:pStyle w:val="Compact"/>
              <w:jc w:val="left"/>
            </w:pPr>
            <w:r>
              <w:t xml:space="preserve">Growth vs. 2022</w:t>
            </w:r>
          </w:p>
        </w:tc>
      </w:tr>
      <w:tr>
        <w:tc>
          <w:tcPr/>
          <w:p>
            <w:pPr>
              <w:pStyle w:val="Compact"/>
              <w:jc w:val="left"/>
            </w:pPr>
            <w:r>
              <w:t xml:space="preserve">Kyoto City (Urban)</w:t>
            </w:r>
          </w:p>
        </w:tc>
        <w:tc>
          <w:tcPr/>
          <w:p>
            <w:pPr>
              <w:pStyle w:val="Compact"/>
              <w:jc w:val="left"/>
            </w:pPr>
            <w:r>
              <w:t xml:space="preserve">¥51.3M</w:t>
            </w:r>
          </w:p>
        </w:tc>
        <w:tc>
          <w:tcPr/>
          <w:p>
            <w:pPr>
              <w:pStyle w:val="Compact"/>
              <w:jc w:val="left"/>
            </w:pPr>
            <w:r>
              <w:t xml:space="preserve">+49%</w:t>
            </w:r>
          </w:p>
        </w:tc>
      </w:tr>
      <w:tr>
        <w:tc>
          <w:tcPr/>
          <w:p>
            <w:pPr>
              <w:pStyle w:val="Compact"/>
              <w:jc w:val="left"/>
            </w:pPr>
            <w:r>
              <w:t xml:space="preserve">Kyoto Suburbs (Fushimi, Nishikyo)</w:t>
            </w:r>
          </w:p>
        </w:tc>
        <w:tc>
          <w:tcPr/>
          <w:p>
            <w:pPr>
              <w:pStyle w:val="Compact"/>
              <w:jc w:val="left"/>
            </w:pPr>
            <w:r>
              <w:t xml:space="preserve">¥22.6M</w:t>
            </w:r>
            <w:r>
              <w:br/>
            </w:r>
            <w:r>
              <w:t xml:space="preserve">*+35% (driven by 12 new partnerships)</w:t>
            </w:r>
          </w:p>
        </w:tc>
        <w:tc>
          <w:tcPr/>
          <w:p>
            <w:pPr>
              <w:pStyle w:val="Compact"/>
            </w:pPr>
          </w:p>
        </w:tc>
      </w:tr>
      <w:tr>
        <w:tc>
          <w:tcPr/>
          <w:p>
            <w:pPr>
              <w:pStyle w:val="Compact"/>
              <w:jc w:val="left"/>
            </w:pPr>
            <w:r>
              <w:t xml:space="preserve">Regional Centers (Otsu, Nara)</w:t>
            </w:r>
          </w:p>
        </w:tc>
        <w:tc>
          <w:tcPr/>
          <w:p>
            <w:pPr>
              <w:pStyle w:val="Compact"/>
              <w:jc w:val="left"/>
            </w:pPr>
            <w:r>
              <w:t xml:space="preserve">¥10.8M</w:t>
            </w:r>
          </w:p>
        </w:tc>
        <w:tc>
          <w:tcPr/>
          <w:p>
            <w:pPr>
              <w:pStyle w:val="Compact"/>
              <w:jc w:val="left"/>
            </w:pPr>
            <w:r>
              <w:t xml:space="preserve">+29%</w:t>
            </w:r>
          </w:p>
        </w:tc>
      </w:tr>
    </w:tbl>
    <w:bookmarkEnd w:id="22"/>
    <w:bookmarkStart w:id="23" w:name="iv.-kyoto-specific-success-factors"/>
    <w:p>
      <w:pPr>
        <w:pStyle w:val="Heading2"/>
      </w:pPr>
      <w:r>
        <w:t xml:space="preserve">IV. Kyoto-Specific Success Factors</w:t>
      </w:r>
    </w:p>
    <w:p>
      <w:pPr>
        <w:pStyle w:val="FirstParagraph"/>
      </w:pPr>
      <w:r>
        <w:t xml:space="preserve">The exceptional performance in Japan Kyoto stems from three tailored strategies:</w:t>
      </w:r>
    </w:p>
    <w:p>
      <w:pPr>
        <w:numPr>
          <w:ilvl w:val="0"/>
          <w:numId w:val="1002"/>
        </w:numPr>
        <w:pStyle w:val="Compact"/>
      </w:pPr>
      <w:r>
        <w:rPr>
          <w:bCs/>
          <w:b/>
        </w:rPr>
        <w:t xml:space="preserve">Cultural Integration:</w:t>
      </w:r>
      <w:r>
        <w:t xml:space="preserve"> </w:t>
      </w:r>
      <w:r>
        <w:t xml:space="preserve">We embedded local cultural context into Teacher Secondary training—e.g., modules on "Leveraging Gion Festival Traditions for Student Engagement" which increased school retention by 27%.</w:t>
      </w:r>
    </w:p>
    <w:p>
      <w:pPr>
        <w:numPr>
          <w:ilvl w:val="0"/>
          <w:numId w:val="1002"/>
        </w:numPr>
        <w:pStyle w:val="Compact"/>
      </w:pPr>
      <w:r>
        <w:rPr>
          <w:bCs/>
          <w:b/>
        </w:rPr>
        <w:t xml:space="preserve">Compliance Alignment:</w:t>
      </w:r>
      <w:r>
        <w:t xml:space="preserve"> </w:t>
      </w:r>
      <w:r>
        <w:t xml:space="preserve">Our platform automatically updates content to match Kyoto's prefectural education policies (e.g., mandatory ethics training following 2023 Ministry revisions).</w:t>
      </w:r>
    </w:p>
    <w:p>
      <w:pPr>
        <w:numPr>
          <w:ilvl w:val="0"/>
          <w:numId w:val="1002"/>
        </w:numPr>
        <w:pStyle w:val="Compact"/>
      </w:pPr>
      <w:r>
        <w:rPr>
          <w:bCs/>
          <w:b/>
        </w:rPr>
        <w:t xml:space="preserve">Community Partnerships:</w:t>
      </w:r>
      <w:r>
        <w:t xml:space="preserve"> </w:t>
      </w:r>
      <w:r>
        <w:t xml:space="preserve">Collaborations with Kyoto Education Board and Shogakukan Publishers created exclusive Teacher Secondary resources, resulting in 45% higher adoption than competitors.</w:t>
      </w:r>
    </w:p>
    <w:bookmarkEnd w:id="23"/>
    <w:bookmarkStart w:id="24" w:name="v.-challenges-mitigation-strategies"/>
    <w:p>
      <w:pPr>
        <w:pStyle w:val="Heading2"/>
      </w:pPr>
      <w:r>
        <w:t xml:space="preserve">V. Challenges &amp; Mitigation Strategies</w:t>
      </w:r>
    </w:p>
    <w:p>
      <w:pPr>
        <w:pStyle w:val="FirstParagraph"/>
      </w:pPr>
      <w:r>
        <w:t xml:space="preserve">Kyoto's market presented unique hurdles requiring agile adaptation:</w:t>
      </w:r>
    </w:p>
    <w:p>
      <w:pPr>
        <w:numPr>
          <w:ilvl w:val="0"/>
          <w:numId w:val="1003"/>
        </w:numPr>
        <w:pStyle w:val="Compact"/>
      </w:pPr>
      <w:r>
        <w:rPr>
          <w:bCs/>
          <w:b/>
        </w:rPr>
        <w:t xml:space="preserve">Language Barrier:</w:t>
      </w:r>
      <w:r>
        <w:t xml:space="preserve"> </w:t>
      </w:r>
      <w:r>
        <w:t xml:space="preserve">Initial English-dominant materials reduced accessibility. Solution: Launched Kyoto-optimized Japanese interface with Kansai dialect support, boosting user satisfaction to 92%.</w:t>
      </w:r>
    </w:p>
    <w:p>
      <w:pPr>
        <w:numPr>
          <w:ilvl w:val="0"/>
          <w:numId w:val="1003"/>
        </w:numPr>
        <w:pStyle w:val="Compact"/>
      </w:pPr>
      <w:r>
        <w:rPr>
          <w:bCs/>
          <w:b/>
        </w:rPr>
        <w:t xml:space="preserve">Cultural Sensitivity:</w:t>
      </w:r>
      <w:r>
        <w:t xml:space="preserve"> </w:t>
      </w:r>
      <w:r>
        <w:t xml:space="preserve">Teachers initially resisted "foreign" pedagogy models. Mitigation: Partnered with Kyoto Gakuen University for locally designed workshops—increasing trust by 63%.</w:t>
      </w:r>
    </w:p>
    <w:p>
      <w:pPr>
        <w:numPr>
          <w:ilvl w:val="0"/>
          <w:numId w:val="1003"/>
        </w:numPr>
        <w:pStyle w:val="Compact"/>
      </w:pPr>
      <w:r>
        <w:rPr>
          <w:bCs/>
          <w:b/>
        </w:rPr>
        <w:t xml:space="preserve">Competition:</w:t>
      </w:r>
      <w:r>
        <w:t xml:space="preserve"> </w:t>
      </w:r>
      <w:r>
        <w:t xml:space="preserve">Rival firms undercut pricing in suburban areas. Response: Introduced tiered "Kyoto School Support" packages (e.g., free curriculum audits for schools with 20+ teachers).</w:t>
      </w:r>
    </w:p>
    <w:bookmarkEnd w:id="24"/>
    <w:bookmarkStart w:id="25" w:name="vi.-strategic-roadmap-for-japan-kyoto"/>
    <w:p>
      <w:pPr>
        <w:pStyle w:val="Heading2"/>
      </w:pPr>
      <w:r>
        <w:t xml:space="preserve">VI. Strategic Roadmap for Japan Kyoto</w:t>
      </w:r>
    </w:p>
    <w:p>
      <w:pPr>
        <w:pStyle w:val="FirstParagraph"/>
      </w:pPr>
      <w:r>
        <w:t xml:space="preserve">To capitalize on Kyoto's educational potential, we propose these priorities for Q4 2023:</w:t>
      </w:r>
    </w:p>
    <w:p>
      <w:pPr>
        <w:numPr>
          <w:ilvl w:val="0"/>
          <w:numId w:val="1004"/>
        </w:numPr>
        <w:pStyle w:val="Compact"/>
      </w:pPr>
      <w:r>
        <w:rPr>
          <w:bCs/>
          <w:b/>
        </w:rPr>
        <w:t xml:space="preserve">Expand Teacher Secondary AI Tools:</w:t>
      </w:r>
      <w:r>
        <w:t xml:space="preserve"> </w:t>
      </w:r>
      <w:r>
        <w:t xml:space="preserve">Develop a Kyoto-specific analytics dashboard tracking student progress against local assessment standards (target: 15 new schools by March 2024).</w:t>
      </w:r>
    </w:p>
    <w:p>
      <w:pPr>
        <w:numPr>
          <w:ilvl w:val="0"/>
          <w:numId w:val="1004"/>
        </w:numPr>
        <w:pStyle w:val="Compact"/>
      </w:pPr>
      <w:r>
        <w:rPr>
          <w:bCs/>
          <w:b/>
        </w:rPr>
        <w:t xml:space="preserve">Cultivate Leadership Programs:</w:t>
      </w:r>
      <w:r>
        <w:t xml:space="preserve"> </w:t>
      </w:r>
      <w:r>
        <w:t xml:space="preserve">Launch "Kyoto Teacher Leaders" initiative—certifying educators to mentor peers, directly addressing Japan's teacher shortage crisis in secondary education.</w:t>
      </w:r>
    </w:p>
    <w:p>
      <w:pPr>
        <w:numPr>
          <w:ilvl w:val="0"/>
          <w:numId w:val="1004"/>
        </w:numPr>
        <w:pStyle w:val="Compact"/>
      </w:pPr>
      <w:r>
        <w:rPr>
          <w:bCs/>
          <w:b/>
        </w:rPr>
        <w:t xml:space="preserve">Strengthen Regional Alliances:</w:t>
      </w:r>
      <w:r>
        <w:t xml:space="preserve"> </w:t>
      </w:r>
      <w:r>
        <w:t xml:space="preserve">Formalize partnerships with Kyoto Chamber of Commerce for subsidized school access (projected 20% cost reduction for clients).</w:t>
      </w:r>
    </w:p>
    <w:bookmarkEnd w:id="25"/>
    <w:bookmarkStart w:id="26" w:name="X8aa39dda6ae257da85c6d5501fb33d80f7d6f16"/>
    <w:p>
      <w:pPr>
        <w:pStyle w:val="Heading2"/>
      </w:pPr>
      <w:r>
        <w:t xml:space="preserve">VII. Conclusion: The Future of Teacher Secondary in Japan Kyoto</w:t>
      </w:r>
    </w:p>
    <w:p>
      <w:pPr>
        <w:pStyle w:val="FirstParagraph"/>
      </w:pPr>
      <w:r>
        <w:t xml:space="preserve">This Sales Report affirms that our Teacher Secondary strategy is not merely successful in Kyoto—it is fundamentally reshaping how educators approach professional development in Japan's most prestigious academic region. With Kyoto serving as a model for national expansion, the demand for culturally attuned, curriculum-compliant teacher support has proven sustainable. We project 55% revenue growth by Q2 2024 through our deepening integration with Kyoto’s educational identity. As Japan prioritizes "Education Innovation" in its 2030 National Strategy, our Teacher Secondary services position us as an indispensable partner for schools seeking to honor tradition while embracing transformation. The data is unequivocal: For any global education provider targeting Japan, Kyoto isn’t just a market—it’s the cornerstone of success.</w:t>
      </w:r>
    </w:p>
    <w:bookmarkEnd w:id="26"/>
    <w:bookmarkStart w:id="27" w:name="viii.-appendix-key-metrics"/>
    <w:p>
      <w:pPr>
        <w:pStyle w:val="Heading2"/>
      </w:pPr>
      <w:r>
        <w:t xml:space="preserve">VIII. Appendix: Key Metrics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Contracts (Kyoto)</w:t>
            </w:r>
          </w:p>
        </w:tc>
        <w:tc>
          <w:tcPr/>
          <w:p>
            <w:pPr>
              <w:pStyle w:val="Compact"/>
              <w:jc w:val="left"/>
            </w:pPr>
            <w:r>
              <w:t xml:space="preserve">37</w:t>
            </w:r>
          </w:p>
        </w:tc>
        <w:tc>
          <w:tcPr/>
          <w:p>
            <w:pPr>
              <w:pStyle w:val="Compact"/>
              <w:jc w:val="left"/>
            </w:pPr>
            <w:r>
              <w:t xml:space="preserve">+48%</w:t>
            </w:r>
          </w:p>
        </w:tc>
      </w:tr>
      <w:tr>
        <w:tc>
          <w:tcPr/>
          <w:p>
            <w:pPr>
              <w:pStyle w:val="Compact"/>
              <w:jc w:val="left"/>
            </w:pPr>
            <w:r>
              <w:t xml:space="preserve">Average Contract Value</w:t>
            </w:r>
          </w:p>
        </w:tc>
        <w:tc>
          <w:tcPr/>
          <w:p>
            <w:pPr>
              <w:pStyle w:val="Compact"/>
              <w:jc w:val="left"/>
            </w:pPr>
            <w:r>
              <w:t xml:space="preserve">¥2.29M</w:t>
            </w:r>
          </w:p>
        </w:tc>
        <w:tc>
          <w:tcPr/>
          <w:p>
            <w:pPr>
              <w:pStyle w:val="Compact"/>
              <w:jc w:val="left"/>
            </w:pPr>
            <w:r>
              <w:t xml:space="preserve">+15%</w:t>
            </w:r>
          </w:p>
        </w:tc>
      </w:tr>
      <w:tr>
        <w:tc>
          <w:tcPr/>
          <w:p>
            <w:pPr>
              <w:pStyle w:val="Compact"/>
              <w:jc w:val="left"/>
            </w:pPr>
            <w:r>
              <w:t xml:space="preserve">Customer Satisfaction (NPS)</w:t>
            </w:r>
          </w:p>
        </w:tc>
        <w:tc>
          <w:tcPr/>
          <w:p>
            <w:pPr>
              <w:pStyle w:val="Compact"/>
              <w:jc w:val="left"/>
            </w:pPr>
            <w:r>
              <w:t xml:space="preserve">84/100</w:t>
            </w:r>
          </w:p>
        </w:tc>
        <w:tc>
          <w:tcPr/>
          <w:p>
            <w:pPr>
              <w:pStyle w:val="Compact"/>
              <w:jc w:val="left"/>
            </w:pPr>
            <w:r>
              <w:t xml:space="preserve">+32 pts</w:t>
            </w:r>
            <w:r>
              <w:br/>
            </w:r>
            <w:r>
              <w:t xml:space="preserve">*(Industry avg: 52)*</w:t>
            </w:r>
          </w:p>
        </w:tc>
      </w:tr>
    </w:tbl>
    <w:p>
      <w:pPr>
        <w:pStyle w:val="BodyText"/>
      </w:pPr>
      <w:r>
        <w:rPr>
          <w:bCs/>
          <w:b/>
        </w:rPr>
        <w:t xml:space="preserve">Prepared by:</w:t>
      </w:r>
      <w:r>
        <w:t xml:space="preserve"> </w:t>
      </w:r>
      <w:r>
        <w:t xml:space="preserve">Global Education Solutions Japan Market Unit</w:t>
      </w:r>
      <w:r>
        <w:br/>
      </w:r>
      <w:r>
        <w:rPr>
          <w:bCs/>
          <w:b/>
        </w:rPr>
        <w:t xml:space="preserve">Contact:</w:t>
      </w:r>
      <w:r>
        <w:t xml:space="preserve"> </w:t>
      </w:r>
      <w:r>
        <w:t xml:space="preserve">sales.kyoto@global-ed.com | +81-75-123-4567</w:t>
      </w:r>
    </w:p>
    <w:p>
      <w:pPr>
        <w:pStyle w:val="BodyText"/>
      </w:pPr>
      <w:r>
        <w:rPr>
          <w:iCs/>
          <w:i/>
        </w:rPr>
        <w:t xml:space="preserve">This Sales Report is confidential and proprietary to Global Education Solutions. Distribution requires written authorization.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Secondary Services in Japan Kyoto</dc:title>
  <dc:creator/>
  <dc:language>en</dc:language>
  <cp:keywords/>
  <dcterms:created xsi:type="dcterms:W3CDTF">2025-12-11T17:03:29Z</dcterms:created>
  <dcterms:modified xsi:type="dcterms:W3CDTF">2025-12-11T17:03:29Z</dcterms:modified>
</cp:coreProperties>
</file>

<file path=docProps/custom.xml><?xml version="1.0" encoding="utf-8"?>
<Properties xmlns="http://schemas.openxmlformats.org/officeDocument/2006/custom-properties" xmlns:vt="http://schemas.openxmlformats.org/officeDocument/2006/docPropsVTypes"/>
</file>