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31" w:name="X79c559920202c08606ed1ceff7d4f6c79a4ae1a"/>
    <w:p>
      <w:pPr>
        <w:pStyle w:val="Heading1"/>
      </w:pPr>
      <w:r>
        <w:t xml:space="preserve">SALES REPORT: TEACHER SECONDARY MARKET PERFORMANCE IN JAPAN OSAKA (QUARTERLY ANALYSIS Q3 2023)</w:t>
      </w:r>
    </w:p>
    <w:p>
      <w:pPr>
        <w:pStyle w:val="FirstParagraph"/>
      </w:pPr>
      <w:r>
        <w:t xml:space="preserve">This comprehensive</w:t>
      </w:r>
      <w:r>
        <w:t xml:space="preserve"> </w:t>
      </w:r>
      <w:r>
        <w:rPr>
          <w:bCs/>
          <w:b/>
        </w:rPr>
        <w:t xml:space="preserve">Sales Report</w:t>
      </w:r>
      <w:r>
        <w:t xml:space="preserve"> </w:t>
      </w:r>
      <w:r>
        <w:t xml:space="preserve">details the performance of our</w:t>
      </w:r>
      <w:r>
        <w:t xml:space="preserve"> </w:t>
      </w:r>
      <w:r>
        <w:rPr>
          <w:iCs/>
          <w:i/>
        </w:rPr>
        <w:t xml:space="preserve">Teacher Secondary</w:t>
      </w:r>
      <w:r>
        <w:t xml:space="preserve"> </w:t>
      </w:r>
      <w:r>
        <w:t xml:space="preserve">educational solutions within Osaka Prefecture, Japan. The report covers market dynamics, sales metrics, strategic initiatives, and future outlook for our flagship secondary education teacher support programs. As Osaka represents Japan's second-largest education hub with over 120 public secondary schools and 85 private institutions serving approximately 350,000 students annually, this region remains critical to our national expansion strategy.</w:t>
      </w:r>
    </w:p>
    <w:bookmarkStart w:id="21" w:name="Xa7b8587aa6dec35c9514acd0501e43b366b21e4"/>
    <w:p>
      <w:pPr>
        <w:pStyle w:val="Heading2"/>
      </w:pPr>
      <w:r>
        <w:t xml:space="preserve">MARKET CONTEXT: OSAKA'S SECONDARY EDUCATION LANDSCAPE</w:t>
      </w:r>
    </w:p>
    <w:p>
      <w:pPr>
        <w:pStyle w:val="FirstParagraph"/>
      </w:pPr>
      <w:r>
        <w:t xml:space="preserve">Osaka's education sector faces unique challenges including standardized testing pressures (National Center Test for University Admissions), teacher retention issues in rural areas, and rising demand for digital literacy integration. According to Osaka Prefecture Board of Education data, 68% of secondary schools report significant staff shortages in STEM and foreign language departments – creating a high-priority market for our</w:t>
      </w:r>
      <w:r>
        <w:t xml:space="preserve"> </w:t>
      </w:r>
      <w:r>
        <w:rPr>
          <w:iCs/>
          <w:i/>
        </w:rPr>
        <w:t xml:space="preserve">Teacher Secondary</w:t>
      </w:r>
      <w:r>
        <w:t xml:space="preserve"> </w:t>
      </w:r>
      <w:r>
        <w:t xml:space="preserve">suite. The regional focus on "Gakubu" (specialized subject) curriculum modernization directly aligns with our premium teacher training modules.</w:t>
      </w:r>
    </w:p>
    <w:bookmarkStart w:id="20" w:name="key-market-insights-japan-osaka-2023"/>
    <w:p>
      <w:pPr>
        <w:pStyle w:val="Heading3"/>
      </w:pPr>
      <w:r>
        <w:t xml:space="preserve">KEY MARKET INSIGHTS: JAPAN OSAKA 2023</w:t>
      </w:r>
    </w:p>
    <w:p>
      <w:pPr>
        <w:numPr>
          <w:ilvl w:val="0"/>
          <w:numId w:val="1001"/>
        </w:numPr>
        <w:pStyle w:val="Compact"/>
      </w:pPr>
      <w:r>
        <w:rPr>
          <w:bCs/>
          <w:b/>
        </w:rPr>
        <w:t xml:space="preserve">Teacher Shortage Crisis:</w:t>
      </w:r>
      <w:r>
        <w:t xml:space="preserve"> </w:t>
      </w:r>
      <w:r>
        <w:t xml:space="preserve">Osaka reports a 19% vacancy rate in mathematics and English departments (2023 Prefecture Survey)</w:t>
      </w:r>
    </w:p>
    <w:p>
      <w:pPr>
        <w:numPr>
          <w:ilvl w:val="0"/>
          <w:numId w:val="1001"/>
        </w:numPr>
        <w:pStyle w:val="Compact"/>
      </w:pPr>
      <w:r>
        <w:rPr>
          <w:bCs/>
          <w:b/>
        </w:rPr>
        <w:t xml:space="preserve">Digital Adoption Rate:</w:t>
      </w:r>
      <w:r>
        <w:t xml:space="preserve"> </w:t>
      </w:r>
      <w:r>
        <w:t xml:space="preserve">76% of Osaka schools now use LMS platforms, creating demand for teacher-specific training</w:t>
      </w:r>
    </w:p>
    <w:p>
      <w:pPr>
        <w:numPr>
          <w:ilvl w:val="0"/>
          <w:numId w:val="1001"/>
        </w:numPr>
        <w:pStyle w:val="Compact"/>
      </w:pPr>
      <w:r>
        <w:rPr>
          <w:bCs/>
          <w:b/>
        </w:rPr>
        <w:t xml:space="preserve">Policy Alignment:</w:t>
      </w:r>
      <w:r>
        <w:t xml:space="preserve"> </w:t>
      </w:r>
      <w:r>
        <w:t xml:space="preserve">Osaka's "Future-Ready Education Initiative" prioritizes digital pedagogy skills (2023-2025 roadmap)</w:t>
      </w:r>
    </w:p>
    <w:bookmarkEnd w:id="20"/>
    <w:bookmarkEnd w:id="21"/>
    <w:bookmarkStart w:id="22" w:name="sales-performance-overview"/>
    <w:p>
      <w:pPr>
        <w:pStyle w:val="Heading2"/>
      </w:pPr>
      <w:r>
        <w:t xml:space="preserve">SALES PERFORMANCE OVERVIEW</w:t>
      </w:r>
    </w:p>
    <w:p>
      <w:pPr>
        <w:pStyle w:val="FirstParagraph"/>
      </w:pPr>
      <w:r>
        <w:t xml:space="preserve">The</w:t>
      </w:r>
      <w:r>
        <w:t xml:space="preserve"> </w:t>
      </w:r>
      <w:r>
        <w:rPr>
          <w:iCs/>
          <w:i/>
        </w:rPr>
        <w:t xml:space="preserve">Teacher Secondary</w:t>
      </w:r>
      <w:r>
        <w:t xml:space="preserve"> </w:t>
      </w:r>
      <w:r>
        <w:t xml:space="preserve">program achieved remarkable growth in Japan Osaka during Q3 2023, surpassing regional targets by 14.7%. Total revenue reached ¥87.4 million (approx. $596,000 USD), representing a 32% YoY increase and capturing 18% market share in the secondary teacher training segment.</w:t>
      </w:r>
    </w:p>
    <w:p>
      <w:pPr>
        <w:pStyle w:val="BodyText"/>
      </w:pPr>
      <w:r>
        <w:t xml:space="preserve">Metrics</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Total Schools Serviced (Osaka)</w:t>
      </w:r>
    </w:p>
    <w:p>
      <w:pPr>
        <w:pStyle w:val="BodyText"/>
      </w:pPr>
      <w:r>
        <w:t xml:space="preserve">47 schools</w:t>
      </w:r>
    </w:p>
    <w:p>
      <w:pPr>
        <w:pStyle w:val="BodyText"/>
      </w:pPr>
      <w:r>
        <w:t xml:space="preserve">79 schools</w:t>
      </w:r>
    </w:p>
    <w:p>
      <w:pPr>
        <w:pStyle w:val="BodyText"/>
      </w:pPr>
      <w:r>
        <w:t xml:space="preserve">+68.1%</w:t>
      </w:r>
    </w:p>
    <w:p>
      <w:pPr>
        <w:pStyle w:val="BodyText"/>
      </w:pPr>
      <w:r>
        <w:t xml:space="preserve">Average Revenue Per School</w:t>
      </w:r>
    </w:p>
    <w:p>
      <w:pPr>
        <w:pStyle w:val="BodyText"/>
      </w:pPr>
      <w:r>
        <w:t xml:space="preserve">¥920,000</w:t>
      </w:r>
    </w:p>
    <w:p>
      <w:pPr>
        <w:pStyle w:val="BodyText"/>
      </w:pPr>
      <w:r>
        <w:t xml:space="preserve">¥1,105,464</w:t>
      </w:r>
    </w:p>
    <w:p>
      <w:pPr>
        <w:pStyle w:val="BodyText"/>
      </w:pPr>
      <w:r>
        <w:t xml:space="preserve">Online Training Enrollment</w:t>
      </w:r>
    </w:p>
    <w:p>
      <w:pPr>
        <w:pStyle w:val="BodyText"/>
      </w:pPr>
      <w:r>
        <w:t xml:space="preserve">1,856 teachers</w:t>
      </w:r>
    </w:p>
    <w:p>
      <w:pPr>
        <w:pStyle w:val="BodyText"/>
      </w:pPr>
      <w:r>
        <w:t xml:space="preserve">3,792 teachers</w:t>
      </w:r>
    </w:p>
    <w:p>
      <w:pPr>
        <w:pStyle w:val="BodyText"/>
      </w:pPr>
      <w:r>
        <w:t xml:space="preserve">+105.8%</w:t>
      </w:r>
    </w:p>
    <w:p>
      <w:pPr>
        <w:pStyle w:val="BodyText"/>
      </w:pPr>
      <w:r>
        <w:t xml:space="preserve">Cross-Sell Rate (Secondary + Primary)</w:t>
      </w:r>
    </w:p>
    <w:p>
      <w:pPr>
        <w:pStyle w:val="BodyText"/>
      </w:pPr>
      <w:r>
        <w:t xml:space="preserve">Notably, our partnership with Osaka City Board of Education secured 32 new contracts for the "Digital Pedagogy Certification Program" – a first-of-its-kind initiative co-developed with local education bureaus. This program directly addresses Osaka's mandate to train all secondary teachers in AI-assisted lesson planning by 2025.</w:t>
      </w:r>
    </w:p>
    <w:bookmarkEnd w:id="22"/>
    <w:bookmarkStart w:id="26" w:name="strategic-implementation-in-japan-osaka"/>
    <w:p>
      <w:pPr>
        <w:pStyle w:val="Heading2"/>
      </w:pPr>
      <w:r>
        <w:t xml:space="preserve">STRATEGIC IMPLEMENTATION IN JAPAN OSAKA</w:t>
      </w:r>
    </w:p>
    <w:p>
      <w:pPr>
        <w:pStyle w:val="FirstParagraph"/>
      </w:pPr>
      <w:r>
        <w:t xml:space="preserve">Our success stems from hyper-localized strategies tailored to Osaka's educational ecosystem:</w:t>
      </w:r>
    </w:p>
    <w:bookmarkStart w:id="23" w:name="kampo-style-teacher-support-model"/>
    <w:p>
      <w:pPr>
        <w:pStyle w:val="Heading3"/>
      </w:pPr>
      <w:r>
        <w:t xml:space="preserve">1. Kampo-Style Teacher Support Model</w:t>
      </w:r>
    </w:p>
    <w:p>
      <w:pPr>
        <w:pStyle w:val="FirstParagraph"/>
      </w:pPr>
      <w:r>
        <w:t xml:space="preserve">We adapted our program to reflect Osaka's "Kanji" (Japanese character) learning philosophy, creating modular training in kanji-based pedagogy for language teachers – a unique value proposition absent in international competitors. This localized approach drove 41% of new contracts.</w:t>
      </w:r>
    </w:p>
    <w:bookmarkEnd w:id="23"/>
    <w:bookmarkStart w:id="24" w:name="osaka-specific-compliance-framework"/>
    <w:p>
      <w:pPr>
        <w:pStyle w:val="Heading3"/>
      </w:pPr>
      <w:r>
        <w:t xml:space="preserve">2. Osaka-Specific Compliance Framework</w:t>
      </w:r>
    </w:p>
    <w:p>
      <w:pPr>
        <w:pStyle w:val="FirstParagraph"/>
      </w:pPr>
      <w:r>
        <w:t xml:space="preserve">Developed the "Osaka Curriculum Alignment System" (OCAS) ensuring all</w:t>
      </w:r>
      <w:r>
        <w:t xml:space="preserve"> </w:t>
      </w:r>
      <w:r>
        <w:rPr>
          <w:iCs/>
          <w:i/>
        </w:rPr>
        <w:t xml:space="preserve">Teacher Secondary</w:t>
      </w:r>
      <w:r>
        <w:t xml:space="preserve"> </w:t>
      </w:r>
      <w:r>
        <w:t xml:space="preserve">materials comply with Osaka Prefecture's "Shiritsu Gakko Kenkyu" (Public School Research) standards, eliminating compliance barriers that previously hindered sales.</w:t>
      </w:r>
    </w:p>
    <w:bookmarkEnd w:id="24"/>
    <w:bookmarkStart w:id="25" w:name="community-partnership-strategy"/>
    <w:p>
      <w:pPr>
        <w:pStyle w:val="Heading3"/>
      </w:pPr>
      <w:r>
        <w:t xml:space="preserve">3. Community Partnership Strategy</w:t>
      </w:r>
    </w:p>
    <w:p>
      <w:pPr>
        <w:pStyle w:val="FirstParagraph"/>
      </w:pPr>
      <w:r>
        <w:t xml:space="preserve">Collaborated with Osaka's 20 education cooperatives (Gakuen Kyoukai) to offer subsidized pilot programs for rural secondary schools in northern Osaka, generating 27 new contracts through community trust-building initiatives.</w:t>
      </w:r>
    </w:p>
    <w:bookmarkEnd w:id="25"/>
    <w:bookmarkEnd w:id="26"/>
    <w:bookmarkStart w:id="28" w:name="challenges-and-solutions-in-osaka-market"/>
    <w:p>
      <w:pPr>
        <w:pStyle w:val="Heading2"/>
      </w:pPr>
      <w:r>
        <w:t xml:space="preserve">CHALLENGES AND SOLUTIONS IN OSAKA MARKET</w:t>
      </w:r>
    </w:p>
    <w:p>
      <w:pPr>
        <w:pStyle w:val="FirstParagraph"/>
      </w:pPr>
      <w:r>
        <w:t xml:space="preserve">Despite strong growth, we encountered Osaka-specific hurdles:</w:t>
      </w:r>
    </w:p>
    <w:p>
      <w:pPr>
        <w:numPr>
          <w:ilvl w:val="0"/>
          <w:numId w:val="1002"/>
        </w:numPr>
        <w:pStyle w:val="Compact"/>
      </w:pPr>
      <w:r>
        <w:rPr>
          <w:bCs/>
          <w:b/>
        </w:rPr>
        <w:t xml:space="preserve">Cultural Adoption Barrier:</w:t>
      </w:r>
      <w:r>
        <w:t xml:space="preserve"> </w:t>
      </w:r>
      <w:r>
        <w:t xml:space="preserve">Initial resistance from senior teachers regarding "digital pedagogy" due to traditional teaching values. *Solution:* Implemented "Nakama (Companion) Mentor System" pairing tech-savvy educators with veteran teachers, increasing adoption rates by 63%.</w:t>
      </w:r>
    </w:p>
    <w:p>
      <w:pPr>
        <w:numPr>
          <w:ilvl w:val="0"/>
          <w:numId w:val="1002"/>
        </w:numPr>
        <w:pStyle w:val="Compact"/>
      </w:pPr>
      <w:r>
        <w:rPr>
          <w:bCs/>
          <w:b/>
        </w:rPr>
        <w:t xml:space="preserve">Regional Compliance Complexity:</w:t>
      </w:r>
      <w:r>
        <w:t xml:space="preserve"> </w:t>
      </w:r>
      <w:r>
        <w:t xml:space="preserve">Multiple Osaka school districts had divergent accreditation requirements. *Solution:* Created a centralized Osaka Compliance Hub staffed by local education specialists, reducing onboarding time from 8 weeks to 2 weeks.</w:t>
      </w:r>
    </w:p>
    <w:bookmarkStart w:id="27" w:name="tangible-outcomes-japan-osaka-case-study"/>
    <w:p>
      <w:pPr>
        <w:pStyle w:val="Heading3"/>
      </w:pPr>
      <w:r>
        <w:t xml:space="preserve">TANGIBLE OUTCOMES: JAPAN OSAKA CASE STUDY</w:t>
      </w:r>
    </w:p>
    <w:p>
      <w:pPr>
        <w:pStyle w:val="FirstParagraph"/>
      </w:pPr>
      <w:r>
        <w:rPr>
          <w:bCs/>
          <w:b/>
        </w:rPr>
        <w:t xml:space="preserve">Osaka Municipal Nishinari High School (2023):</w:t>
      </w:r>
      <w:r>
        <w:t xml:space="preserve"> </w:t>
      </w:r>
      <w:r>
        <w:t xml:space="preserve">After implementing our Teacher Secondary program, teachers reported 54% higher efficiency in creating AI-assisted lesson plans. The school achieved a 17-point improvement in student pass rates for mathematics (Osaka Prefecture Benchmark) – directly linked to the pedagogy training modules. This success generated 5 referral contracts within Osaka's Nishinari district.</w:t>
      </w:r>
    </w:p>
    <w:bookmarkEnd w:id="27"/>
    <w:bookmarkEnd w:id="28"/>
    <w:bookmarkStart w:id="29" w:name="X4c8b5202bae58aada148c7399cd75d52a8df0a2"/>
    <w:p>
      <w:pPr>
        <w:pStyle w:val="Heading2"/>
      </w:pPr>
      <w:r>
        <w:t xml:space="preserve">FUTURE OUTLOOK: TEACHER SECONDARY GROWTH STRATEGY</w:t>
      </w:r>
    </w:p>
    <w:p>
      <w:pPr>
        <w:pStyle w:val="FirstParagraph"/>
      </w:pPr>
      <w:r>
        <w:t xml:space="preserve">Building on Q3 momentum, our Japan Osaka expansion roadmap includes:</w:t>
      </w:r>
    </w:p>
    <w:p>
      <w:pPr>
        <w:numPr>
          <w:ilvl w:val="0"/>
          <w:numId w:val="1003"/>
        </w:numPr>
        <w:pStyle w:val="Compact"/>
      </w:pPr>
      <w:r>
        <w:rPr>
          <w:bCs/>
          <w:b/>
        </w:rPr>
        <w:t xml:space="preserve">Q4 2023:</w:t>
      </w:r>
      <w:r>
        <w:t xml:space="preserve"> </w:t>
      </w:r>
      <w:r>
        <w:t xml:space="preserve">Launch "Osaka Teacher Ambassador Network" to leverage certified educators for peer-to-peer promotion across all 85 private secondary schools.</w:t>
      </w:r>
    </w:p>
    <w:p>
      <w:pPr>
        <w:numPr>
          <w:ilvl w:val="0"/>
          <w:numId w:val="1003"/>
        </w:numPr>
        <w:pStyle w:val="Compact"/>
      </w:pPr>
      <w:r>
        <w:rPr>
          <w:bCs/>
          <w:b/>
        </w:rPr>
        <w:t xml:space="preserve">2024 Initiative:</w:t>
      </w:r>
      <w:r>
        <w:t xml:space="preserve"> </w:t>
      </w:r>
      <w:r>
        <w:t xml:space="preserve">Co-develop with Osaka University of Education a nationally recognized "Advanced Secondary Pedagogy Certificate" – positioning our</w:t>
      </w:r>
      <w:r>
        <w:t xml:space="preserve"> </w:t>
      </w:r>
      <w:r>
        <w:rPr>
          <w:iCs/>
          <w:i/>
        </w:rPr>
        <w:t xml:space="preserve">Teacher Secondary</w:t>
      </w:r>
      <w:r>
        <w:t xml:space="preserve"> </w:t>
      </w:r>
      <w:r>
        <w:t xml:space="preserve">program as the industry standard.</w:t>
      </w:r>
    </w:p>
    <w:p>
      <w:pPr>
        <w:numPr>
          <w:ilvl w:val="0"/>
          <w:numId w:val="1003"/>
        </w:numPr>
        <w:pStyle w:val="Compact"/>
      </w:pPr>
      <w:r>
        <w:rPr>
          <w:bCs/>
          <w:b/>
        </w:rPr>
        <w:t xml:space="preserve">Sustainability Focus:</w:t>
      </w:r>
      <w:r>
        <w:t xml:space="preserve"> </w:t>
      </w:r>
      <w:r>
        <w:t xml:space="preserve">Integrate Osaka's "Green Education" policy into all training materials, offering carbon-neutral certification for participating schools.</w:t>
      </w:r>
    </w:p>
    <w:bookmarkEnd w:id="29"/>
    <w:bookmarkStart w:id="30" w:name="Xec398c7a68a7d027b7095084f1383ea75e1976f"/>
    <w:p>
      <w:pPr>
        <w:pStyle w:val="Heading2"/>
      </w:pPr>
      <w:r>
        <w:t xml:space="preserve">CONCLUSION: THE TEACHER SECONDARY ADVANTAGE IN OSAKA</w:t>
      </w:r>
    </w:p>
    <w:p>
      <w:pPr>
        <w:pStyle w:val="FirstParagraph"/>
      </w:pPr>
      <w:r>
        <w:t xml:space="preserve">This</w:t>
      </w:r>
      <w:r>
        <w:t xml:space="preserve"> </w:t>
      </w:r>
      <w:r>
        <w:rPr>
          <w:iCs/>
          <w:i/>
        </w:rPr>
        <w:t xml:space="preserve">Sales Report</w:t>
      </w:r>
      <w:r>
        <w:t xml:space="preserve"> </w:t>
      </w:r>
      <w:r>
        <w:t xml:space="preserve">demonstrates that our localized approach to the</w:t>
      </w:r>
      <w:r>
        <w:t xml:space="preserve"> </w:t>
      </w:r>
      <w:r>
        <w:rPr>
          <w:iCs/>
          <w:i/>
        </w:rPr>
        <w:t xml:space="preserve">Teacher Secondary</w:t>
      </w:r>
      <w:r>
        <w:t xml:space="preserve"> </w:t>
      </w:r>
      <w:r>
        <w:t xml:space="preserve">market has transformed Osaka from a challenge zone into a growth engine. By embedding ourselves within Osaka's unique education ecosystem through compliance mastery, cultural adaptation, and community partnership – rather than deploying generic international solutions – we've achieved sustainable market leadership. Our Q3 performance validates that understanding Japan's regional educational nuances isn't just strategic; it's the fundamental requirement for success in Osaka.</w:t>
      </w:r>
    </w:p>
    <w:p>
      <w:pPr>
        <w:pStyle w:val="BodyText"/>
      </w:pPr>
      <w:r>
        <w:t xml:space="preserve">As Osaka Prefecture accelerates its "2025 Digital School" initiative, our</w:t>
      </w:r>
      <w:r>
        <w:t xml:space="preserve"> </w:t>
      </w:r>
      <w:r>
        <w:rPr>
          <w:iCs/>
          <w:i/>
        </w:rPr>
        <w:t xml:space="preserve">Teacher Secondary</w:t>
      </w:r>
      <w:r>
        <w:t xml:space="preserve"> </w:t>
      </w:r>
      <w:r>
        <w:t xml:space="preserve">program stands positioned to become the indispensable partner for 100% of secondary educators. The data is clear: when solutions are designed specifically for Japan Osaka's context – not merely localized – they deliver transformative results. We project 42% revenue growth in Osaka through 2024, establishing a national benchmark for region-specific educational technology adoption.</w:t>
      </w:r>
    </w:p>
    <w:p>
      <w:pPr>
        <w:pStyle w:val="BodyText"/>
      </w:pPr>
      <w:r>
        <w:rPr>
          <w:bCs/>
          <w:b/>
        </w:rPr>
        <w:t xml:space="preserve">Prepared by:</w:t>
      </w:r>
      <w:r>
        <w:t xml:space="preserve"> </w:t>
      </w:r>
      <w:r>
        <w:t xml:space="preserve">Global Education Solutions Division</w:t>
      </w:r>
      <w:r>
        <w:br/>
      </w:r>
      <w:r>
        <w:rPr>
          <w:bCs/>
          <w:b/>
        </w:rPr>
        <w:t xml:space="preserve">Date:</w:t>
      </w:r>
      <w:r>
        <w:t xml:space="preserve"> </w:t>
      </w:r>
      <w:r>
        <w:t xml:space="preserve">October 17, 2023</w:t>
      </w:r>
      <w:r>
        <w:br/>
      </w:r>
      <w:r>
        <w:rPr>
          <w:bCs/>
          <w:b/>
        </w:rPr>
        <w:t xml:space="preserve">Report for: Japan Osaka Market Leadership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Japan Osaka Market Analysis</dc:title>
  <dc:creator/>
  <dc:language>en</dc:language>
  <cp:keywords/>
  <dcterms:created xsi:type="dcterms:W3CDTF">2025-12-11T15:57:11Z</dcterms:created>
  <dcterms:modified xsi:type="dcterms:W3CDTF">2025-12-11T15:57:11Z</dcterms:modified>
</cp:coreProperties>
</file>

<file path=docProps/custom.xml><?xml version="1.0" encoding="utf-8"?>
<Properties xmlns="http://schemas.openxmlformats.org/officeDocument/2006/custom-properties" xmlns:vt="http://schemas.openxmlformats.org/officeDocument/2006/docPropsVTypes"/>
</file>