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Teacher</w:t>
      </w:r>
      <w:r>
        <w:t xml:space="preserve"> </w:t>
      </w:r>
      <w:r>
        <w:t xml:space="preserve">Secondary</w:t>
      </w:r>
      <w:r>
        <w:t xml:space="preserve"> </w:t>
      </w:r>
      <w:r>
        <w:t xml:space="preserve">Services</w:t>
      </w:r>
      <w:r>
        <w:t xml:space="preserve"> </w:t>
      </w:r>
      <w:r>
        <w:t xml:space="preserve">in</w:t>
      </w:r>
      <w:r>
        <w:t xml:space="preserve"> </w:t>
      </w:r>
      <w:r>
        <w:t xml:space="preserve">Japan</w:t>
      </w:r>
      <w:r>
        <w:t xml:space="preserve"> </w:t>
      </w:r>
      <w:r>
        <w:t xml:space="preserve">Tokyo</w:t>
      </w:r>
    </w:p>
    <w:bookmarkStart w:id="27" w:name="Xfb303e8144636f77c360e4fd569859ac17c9d2d"/>
    <w:p>
      <w:pPr>
        <w:pStyle w:val="Heading1"/>
      </w:pPr>
      <w:r>
        <w:t xml:space="preserve">ANNUAL SALES REPORT</w:t>
      </w:r>
      <w:r>
        <w:br/>
      </w:r>
      <w:r>
        <w:t xml:space="preserve">TEACHER SECONDARY SERVICES IN JAPAN TOKYO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January 1 - December 31,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specialized Teacher Secondary service portfolio across Tokyo, Japan's educational epicenter. As a leading provider of professional development and curriculum solutions for secondary educators, our Tokyo operations achieved remarkable growth in 2023 with a 37% year-over-year increase in subscription revenue. The</w:t>
      </w:r>
      <w:r>
        <w:t xml:space="preserve"> </w:t>
      </w:r>
      <w:r>
        <w:rPr>
          <w:bCs/>
          <w:b/>
        </w:rPr>
        <w:t xml:space="preserve">Teacher Secondary</w:t>
      </w:r>
      <w:r>
        <w:t xml:space="preserve"> </w:t>
      </w:r>
      <w:r>
        <w:t xml:space="preserve">division—focused exclusively on middle and high school instructors—now represents 68% of our total Japan revenue, demonstrating exceptional market penetration within Tokyo's competitive education landscape. This success stems from culturally tailored solutions addressing Japan's unique secondary education requirements.</w:t>
      </w:r>
    </w:p>
    <w:bookmarkEnd w:id="20"/>
    <w:bookmarkStart w:id="21" w:name="Xb7c525098493149e3b95f0172688fac91969d9d"/>
    <w:p>
      <w:pPr>
        <w:pStyle w:val="Heading2"/>
      </w:pPr>
      <w:r>
        <w:t xml:space="preserve">Market Analysis: Tokyo Secondary Education Landscape</w:t>
      </w:r>
    </w:p>
    <w:p>
      <w:pPr>
        <w:pStyle w:val="FirstParagraph"/>
      </w:pPr>
      <w:r>
        <w:t xml:space="preserve">Understanding Tokyo's distinct educational ecosystem was critical for our</w:t>
      </w:r>
      <w:r>
        <w:t xml:space="preserve"> </w:t>
      </w:r>
      <w:r>
        <w:rPr>
          <w:bCs/>
          <w:b/>
        </w:rPr>
        <w:t xml:space="preserve">Teacher Secondary</w:t>
      </w:r>
      <w:r>
        <w:t xml:space="preserve"> </w:t>
      </w:r>
      <w:r>
        <w:t xml:space="preserve">strategy. As the nation's academic capital housing 40% of Japan's top-tier private and public secondary institutions, Tokyo presents both challenges and opportunities. The Ministry of Education mandates rigorous standards in STEM and humanities, creating high demand for specialized teacher training resources. Our market research revealed that 89% of Tokyo secondary schools face challenges with modern pedagogical techniques—particularly in digital integration—a gap our</w:t>
      </w:r>
      <w:r>
        <w:t xml:space="preserve"> </w:t>
      </w:r>
      <w:r>
        <w:rPr>
          <w:bCs/>
          <w:b/>
        </w:rPr>
        <w:t xml:space="preserve">Sales Report</w:t>
      </w:r>
      <w:r>
        <w:t xml:space="preserve"> </w:t>
      </w:r>
      <w:r>
        <w:t xml:space="preserve">strategy directly addressed.</w:t>
      </w:r>
    </w:p>
    <w:p>
      <w:pPr>
        <w:pStyle w:val="BodyText"/>
      </w:pPr>
      <w:r>
        <w:t xml:space="preserve">The cultural context proved pivotal: Japanese educators value collective growth (kyōdō) over individual achievement. Our Teacher Secondary offerings were redesigned to emphasize peer collaboration features, aligning with Tokyo's educational philosophy. This adaptation drove 76% of new contracts in Q3 2023, significantly outperforming national averages.</w:t>
      </w:r>
    </w:p>
    <w:bookmarkEnd w:id="21"/>
    <w:bookmarkStart w:id="22"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2022</w:t>
            </w:r>
          </w:p>
        </w:tc>
        <w:tc>
          <w:tcPr/>
          <w:p>
            <w:pPr>
              <w:pStyle w:val="Compact"/>
              <w:jc w:val="left"/>
            </w:pPr>
            <w:r>
              <w:t xml:space="preserve">2023</w:t>
            </w:r>
          </w:p>
        </w:tc>
        <w:tc>
          <w:tcPr/>
          <w:p>
            <w:pPr>
              <w:pStyle w:val="Compact"/>
              <w:jc w:val="left"/>
            </w:pPr>
            <w:r>
              <w:t xml:space="preserve">YoY Change</w:t>
            </w:r>
          </w:p>
        </w:tc>
      </w:tr>
      <w:tr>
        <w:tc>
          <w:tcPr/>
          <w:p>
            <w:pPr>
              <w:pStyle w:val="Compact"/>
              <w:jc w:val="left"/>
            </w:pPr>
            <w:r>
              <w:t xml:space="preserve">Total Revenue (JPY)</w:t>
            </w:r>
          </w:p>
        </w:tc>
        <w:tc>
          <w:tcPr/>
          <w:p>
            <w:pPr>
              <w:pStyle w:val="Compact"/>
              <w:jc w:val="right"/>
            </w:pPr>
            <w:r>
              <w:t xml:space="preserve">¥248,500,000</w:t>
            </w:r>
          </w:p>
        </w:tc>
        <w:tc>
          <w:tcPr/>
          <w:p>
            <w:pPr>
              <w:pStyle w:val="Compact"/>
              <w:jc w:val="right"/>
            </w:pPr>
            <w:r>
              <w:t xml:space="preserve">¥347,956,250</w:t>
            </w:r>
          </w:p>
        </w:tc>
        <w:tc>
          <w:tcPr/>
          <w:p>
            <w:pPr>
              <w:pStyle w:val="Compact"/>
              <w:jc w:val="right"/>
            </w:pPr>
            <w:r>
              <w:t xml:space="preserve">+37.8%</w:t>
            </w:r>
          </w:p>
        </w:tc>
      </w:tr>
      <w:tr>
        <w:tc>
          <w:tcPr/>
          <w:p>
            <w:pPr>
              <w:pStyle w:val="Compact"/>
              <w:jc w:val="left"/>
            </w:pPr>
            <w:r>
              <w:t xml:space="preserve">New Teacher Secondary Subscriptions</w:t>
            </w:r>
          </w:p>
        </w:tc>
        <w:tc>
          <w:tcPr/>
          <w:p>
            <w:pPr>
              <w:pStyle w:val="Compact"/>
              <w:jc w:val="right"/>
            </w:pPr>
            <w:r>
              <w:t xml:space="preserve">523</w:t>
            </w:r>
          </w:p>
        </w:tc>
        <w:tc>
          <w:tcPr/>
          <w:p>
            <w:pPr>
              <w:pStyle w:val="Compact"/>
              <w:jc w:val="right"/>
            </w:pPr>
            <w:r>
              <w:t xml:space="preserve">879</w:t>
            </w:r>
          </w:p>
        </w:tc>
        <w:tc>
          <w:tcPr/>
          <w:p>
            <w:pPr>
              <w:pStyle w:val="Compact"/>
              <w:jc w:val="right"/>
            </w:pPr>
            <w:r>
              <w:t xml:space="preserve">+68.1%</w:t>
            </w:r>
          </w:p>
        </w:tc>
      </w:tr>
      <w:tr>
        <w:tc>
          <w:tcPr/>
          <w:p>
            <w:pPr>
              <w:pStyle w:val="Compact"/>
              <w:jc w:val="left"/>
            </w:pPr>
            <w:r>
              <w:t xml:space="preserve">Client Retention Rate</w:t>
            </w:r>
          </w:p>
        </w:tc>
        <w:tc>
          <w:tcPr/>
          <w:p>
            <w:pPr>
              <w:pStyle w:val="Compact"/>
              <w:jc w:val="right"/>
            </w:pPr>
            <w:r>
              <w:t xml:space="preserve">72%</w:t>
            </w:r>
          </w:p>
        </w:tc>
        <w:tc>
          <w:tcPr/>
          <w:p>
            <w:pPr>
              <w:pStyle w:val="Compact"/>
              <w:jc w:val="right"/>
            </w:pPr>
            <w:r>
              <w:t xml:space="preserve">83%</w:t>
            </w:r>
          </w:p>
        </w:tc>
        <w:tc>
          <w:tcPr/>
          <w:p>
            <w:pPr>
              <w:pStyle w:val="Compact"/>
              <w:jc w:val="right"/>
            </w:pPr>
            <w:r>
              <w:t xml:space="preserve">+11.0%</w:t>
            </w:r>
          </w:p>
        </w:tc>
      </w:tr>
      <w:tr>
        <w:tc>
          <w:tcPr/>
          <w:p>
            <w:pPr>
              <w:pStyle w:val="Compact"/>
              <w:jc w:val="left"/>
            </w:pPr>
            <w:r>
              <w:t xml:space="preserve">Tokyo School Coverage</w:t>
            </w:r>
          </w:p>
        </w:tc>
        <w:tc>
          <w:tcPr/>
          <w:p>
            <w:pPr>
              <w:pStyle w:val="Compact"/>
              <w:jc w:val="right"/>
            </w:pPr>
            <w:r>
              <w:t xml:space="preserve">34% of Tokyo secondary schools</w:t>
            </w:r>
          </w:p>
        </w:tc>
        <w:tc>
          <w:tcPr/>
          <w:p>
            <w:pPr>
              <w:pStyle w:val="Compact"/>
              <w:jc w:val="right"/>
            </w:pPr>
            <w:r>
              <w:t xml:space="preserve">59% of Tokyo secondary schools</w:t>
            </w:r>
          </w:p>
        </w:tc>
        <w:tc>
          <w:tcPr/>
          <w:p>
            <w:pPr>
              <w:pStyle w:val="Compact"/>
              <w:jc w:val="right"/>
            </w:pPr>
            <w:r>
              <w:t xml:space="preserve">+25 points</w:t>
            </w:r>
          </w:p>
        </w:tc>
      </w:tr>
    </w:tbl>
    <w:bookmarkEnd w:id="22"/>
    <w:bookmarkStart w:id="23" w:name="X406f0345f52c261542d4c1ff81f083201cf5967"/>
    <w:p>
      <w:pPr>
        <w:pStyle w:val="Heading2"/>
      </w:pPr>
      <w:r>
        <w:t xml:space="preserve">Key Success Drivers for Teacher Secondary in Tokyo</w:t>
      </w:r>
    </w:p>
    <w:p>
      <w:pPr>
        <w:pStyle w:val="FirstParagraph"/>
      </w:pPr>
      <w:r>
        <w:rPr>
          <w:bCs/>
          <w:b/>
        </w:rPr>
        <w:t xml:space="preserve">Cultural Integration:</w:t>
      </w:r>
      <w:r>
        <w:t xml:space="preserve"> </w:t>
      </w:r>
      <w:r>
        <w:t xml:space="preserve">Our Tokyo team conducted 147 school visits to understand local teaching challenges. We developed "Kodomo no Shōgakko" (Children's Learning) modules aligning with Japan's "Gakushū Shidō Yōkyū" curriculum standards—a feature cited in 92% of positive client feedback. This cultural precision transformed our</w:t>
      </w:r>
      <w:r>
        <w:t xml:space="preserve"> </w:t>
      </w:r>
      <w:r>
        <w:rPr>
          <w:bCs/>
          <w:b/>
        </w:rPr>
        <w:t xml:space="preserve">Teacher Secondary</w:t>
      </w:r>
      <w:r>
        <w:t xml:space="preserve"> </w:t>
      </w:r>
      <w:r>
        <w:t xml:space="preserve">product from generic to indispensable for Tokyo educators.</w:t>
      </w:r>
    </w:p>
    <w:p>
      <w:pPr>
        <w:pStyle w:val="BodyText"/>
      </w:pPr>
      <w:r>
        <w:rPr>
          <w:bCs/>
          <w:b/>
        </w:rPr>
        <w:t xml:space="preserve">Digital Adaptation:</w:t>
      </w:r>
      <w:r>
        <w:t xml:space="preserve"> </w:t>
      </w:r>
      <w:r>
        <w:t xml:space="preserve">Recognizing Tokyo's tech-forward schools, we launched "EdTech Fusion" packages compatible with Japan's common classroom platforms (like Classi and Miraikan). This solution reduced teacher onboarding time by 60%, directly contributing to our 37% revenue growth. The</w:t>
      </w:r>
      <w:r>
        <w:t xml:space="preserve"> </w:t>
      </w:r>
      <w:r>
        <w:rPr>
          <w:bCs/>
          <w:b/>
        </w:rPr>
        <w:t xml:space="preserve">Sales Report</w:t>
      </w:r>
      <w:r>
        <w:t xml:space="preserve"> </w:t>
      </w:r>
      <w:r>
        <w:t xml:space="preserve">confirms digital tools now drive 81% of new Teacher Secondary contracts in Tokyo.</w:t>
      </w:r>
    </w:p>
    <w:p>
      <w:pPr>
        <w:pStyle w:val="BodyText"/>
      </w:pPr>
      <w:r>
        <w:rPr>
          <w:bCs/>
          <w:b/>
        </w:rPr>
        <w:t xml:space="preserve">Strategic Partnerships:</w:t>
      </w:r>
      <w:r>
        <w:t xml:space="preserve"> </w:t>
      </w:r>
      <w:r>
        <w:t xml:space="preserve">Collaborations with Tokyo's Board of Education (Tokyo Metropolis Education Committee) enabled our Teacher Secondary program to be listed in their official resource directory. This credibility resulted in 43 institutional contracts—representing 28% of total sales—unprecedented for a private provider.</w:t>
      </w:r>
    </w:p>
    <w:bookmarkEnd w:id="23"/>
    <w:bookmarkStart w:id="24" w:name="challenges-and-strategic-adjustments"/>
    <w:p>
      <w:pPr>
        <w:pStyle w:val="Heading2"/>
      </w:pPr>
      <w:r>
        <w:t xml:space="preserve">Challenges and Strategic Adjustments</w:t>
      </w:r>
    </w:p>
    <w:p>
      <w:pPr>
        <w:pStyle w:val="FirstParagraph"/>
      </w:pPr>
      <w:r>
        <w:t xml:space="preserve">Despite growth, Tokyo's market presented unique hurdles. The rigid academic calendar caused seasonal sales dips in April (new school year) and March (graduation), requiring us to develop a "Summer Bridge Program" for teacher training—now generating 19% of annual revenue. We also addressed language barriers by creating Japanese-language instructional videos with Tokyo dialect specialists, increasing user satisfaction by 47%.</w:t>
      </w:r>
    </w:p>
    <w:p>
      <w:pPr>
        <w:pStyle w:val="BodyText"/>
      </w:pPr>
      <w:r>
        <w:t xml:space="preserve">Competition from local edtech firms like EduSakura was intense. Our response was to double down on Teacher Secondary differentiation through exclusive Tokyo school case studies. The "Nihon no Kyōshi" (Japanese Teachers) success story library—showcasing real Tokyo educators' achievements—became our most effective sales tool, converting 68% of trial users into paying subscribers.</w:t>
      </w:r>
    </w:p>
    <w:bookmarkEnd w:id="24"/>
    <w:bookmarkStart w:id="25" w:name="recommendations-for-2024"/>
    <w:p>
      <w:pPr>
        <w:pStyle w:val="Heading2"/>
      </w:pPr>
      <w:r>
        <w:t xml:space="preserve">Recommendations for 2024</w:t>
      </w:r>
    </w:p>
    <w:p>
      <w:pPr>
        <w:pStyle w:val="FirstParagraph"/>
      </w:pPr>
      <w:r>
        <w:t xml:space="preserve">Based on this</w:t>
      </w:r>
      <w:r>
        <w:t xml:space="preserve"> </w:t>
      </w:r>
      <w:r>
        <w:rPr>
          <w:bCs/>
          <w:b/>
        </w:rPr>
        <w:t xml:space="preserve">Sales Report</w:t>
      </w:r>
      <w:r>
        <w:t xml:space="preserve">, we recommend:</w:t>
      </w:r>
    </w:p>
    <w:p>
      <w:pPr>
        <w:numPr>
          <w:ilvl w:val="0"/>
          <w:numId w:val="1001"/>
        </w:numPr>
        <w:pStyle w:val="Compact"/>
      </w:pPr>
      <w:r>
        <w:rPr>
          <w:bCs/>
          <w:b/>
        </w:rPr>
        <w:t xml:space="preserve">Expand Tokyo Teacher Secondary "Community Hubs":</w:t>
      </w:r>
      <w:r>
        <w:t xml:space="preserve"> </w:t>
      </w:r>
      <w:r>
        <w:t xml:space="preserve">Establish physical learning centers in Shibuya and Shinjuku for peer networking, targeting the top 50 Tokyo schools. Projected to generate ¥82M in new revenue by Q4 2024.</w:t>
      </w:r>
    </w:p>
    <w:p>
      <w:pPr>
        <w:numPr>
          <w:ilvl w:val="0"/>
          <w:numId w:val="1001"/>
        </w:numPr>
        <w:pStyle w:val="Compact"/>
      </w:pPr>
      <w:r>
        <w:rPr>
          <w:bCs/>
          <w:b/>
        </w:rPr>
        <w:t xml:space="preserve">Launch AI-Powered Curriculum Builder:</w:t>
      </w:r>
      <w:r>
        <w:t xml:space="preserve"> </w:t>
      </w:r>
      <w:r>
        <w:t xml:space="preserve">Develop a tool that creates personalized lesson plans aligned with Tokyo's latest textbook revisions (effective 2025). This addresses the #1 educator request identified in our Tokyo Teacher Secondary surveys.</w:t>
      </w:r>
    </w:p>
    <w:p>
      <w:pPr>
        <w:numPr>
          <w:ilvl w:val="0"/>
          <w:numId w:val="1001"/>
        </w:numPr>
        <w:pStyle w:val="Compact"/>
      </w:pPr>
      <w:r>
        <w:rPr>
          <w:bCs/>
          <w:b/>
        </w:rPr>
        <w:t xml:space="preserve">Cultivate Government Partnerships:</w:t>
      </w:r>
      <w:r>
        <w:t xml:space="preserve"> </w:t>
      </w:r>
      <w:r>
        <w:t xml:space="preserve">Pursue official recognition from MEXT (Ministry of Education) for our Teacher Secondary certification program, positioning us as the authority in Tokyo secondary education support.</w:t>
      </w:r>
    </w:p>
    <w:bookmarkEnd w:id="25"/>
    <w:bookmarkStart w:id="26" w:name="conclusion"/>
    <w:p>
      <w:pPr>
        <w:pStyle w:val="Heading2"/>
      </w:pPr>
      <w:r>
        <w:t xml:space="preserve">Conclusion</w:t>
      </w:r>
    </w:p>
    <w:p>
      <w:pPr>
        <w:pStyle w:val="FirstParagraph"/>
      </w:pPr>
      <w:r>
        <w:t xml:space="preserve">Our 2023 performance proves the strategic importance of deeply localized Teacher Secondary solutions in Japan Tokyo. The</w:t>
      </w:r>
      <w:r>
        <w:t xml:space="preserve"> </w:t>
      </w:r>
      <w:r>
        <w:rPr>
          <w:bCs/>
          <w:b/>
        </w:rPr>
        <w:t xml:space="preserve">Sales Report</w:t>
      </w:r>
      <w:r>
        <w:t xml:space="preserve"> </w:t>
      </w:r>
      <w:r>
        <w:t xml:space="preserve">demonstrates that when educational technology respects cultural context—like Tokyo's emphasis on collective growth and rigorous academic standards—it doesn't just sell; it transforms how teachers approach their profession. With Tokyo now representing 68% of our Japan revenue, the Teacher Secondary division has become our most valuable asset. As we enter 2024, we commit to making "Teacher Secondary" synonymous with excellence in Japanese secondary education—where every lesson plan, every professional development module, and every teacher engagement strategy reflects our understanding of Tokyo's unique educational heartbeat.</w:t>
      </w:r>
    </w:p>
    <w:p>
      <w:pPr>
        <w:pStyle w:val="BodyText"/>
      </w:pPr>
      <w:r>
        <w:t xml:space="preserve">"In Tokyo's classrooms, excellence isn't measured in numbers alone—it's measured in the quality of every lesson taught and every student inspired. Our Teacher Secondary solutions make that possible."</w:t>
      </w:r>
    </w:p>
    <w:p>
      <w:pPr>
        <w:pStyle w:val="BodyText"/>
      </w:pPr>
      <w:r>
        <w:rPr>
          <w:iCs/>
          <w:i/>
        </w:rPr>
        <w:t xml:space="preserve">Prepared by Tokyo Education Solutions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Teacher Secondary Services in Japan Tokyo</dc:title>
  <dc:creator/>
  <dc:language>en</dc:language>
  <cp:keywords/>
  <dcterms:created xsi:type="dcterms:W3CDTF">2026-07-23T10:45:43Z</dcterms:created>
  <dcterms:modified xsi:type="dcterms:W3CDTF">2026-07-23T10:45:43Z</dcterms:modified>
</cp:coreProperties>
</file>

<file path=docProps/custom.xml><?xml version="1.0" encoding="utf-8"?>
<Properties xmlns="http://schemas.openxmlformats.org/officeDocument/2006/custom-properties" xmlns:vt="http://schemas.openxmlformats.org/officeDocument/2006/docPropsVTypes"/>
</file>