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Kazakhstan</w:t>
      </w:r>
      <w:r>
        <w:t xml:space="preserve"> </w:t>
      </w:r>
      <w:r>
        <w:t xml:space="preserve">Almaty</w:t>
      </w:r>
    </w:p>
    <w:bookmarkStart w:id="29" w:name="X4b3b9dc8ca89d4036d7e6206eaadc0bb5d46a0a"/>
    <w:p>
      <w:pPr>
        <w:pStyle w:val="Heading1"/>
      </w:pPr>
      <w:r>
        <w:t xml:space="preserve">SALES REPORT: TEACHER SECONDARY MARKET PERFORMANCE IN KAZAKHSTAN ALMATY</w:t>
      </w:r>
    </w:p>
    <w:p>
      <w:pPr>
        <w:pStyle w:val="FirstParagraph"/>
      </w:pPr>
      <w:r>
        <w:t xml:space="preserve">Quarterly Analysis | Q3 2023 | Prepared for Executive Leadership Team</w:t>
      </w:r>
    </w:p>
    <w:bookmarkStart w:id="20" w:name="executive-summary"/>
    <w:p>
      <w:pPr>
        <w:pStyle w:val="Heading2"/>
      </w:pPr>
      <w:r>
        <w:t xml:space="preserve">Executive Summary</w:t>
      </w:r>
    </w:p>
    <w:p>
      <w:pPr>
        <w:pStyle w:val="FirstParagraph"/>
      </w:pPr>
      <w:r>
        <w:t xml:space="preserve">This comprehensive Sales Report details the performance of Teacher Secondary educational solutions across Kazakhstan Almaty, documenting a remarkable 18.7% year-over-year growth in revenue despite regional economic challenges. The report specifically tracks sales activity within the secondary education sector (grades 7-11), which remains the most dynamic and high-potential market segment for our enterprise. As Kazakhstan continues its educational modernization initiatives, Almaty's secondary schools have emerged as pivotal adoption centers, making this region critical to our national strategy. This document serves as both a performance audit and strategic roadmap for expanding Teacher Secondary market penetration.</w:t>
      </w:r>
    </w:p>
    <w:bookmarkEnd w:id="20"/>
    <w:bookmarkStart w:id="21" w:name="X64b0a6c0cfeb3a032680a5232c77067de18f01d"/>
    <w:p>
      <w:pPr>
        <w:pStyle w:val="Heading2"/>
      </w:pPr>
      <w:r>
        <w:t xml:space="preserve">Market Context: Teacher Secondary in Kazakhstan Almaty</w:t>
      </w:r>
    </w:p>
    <w:p>
      <w:pPr>
        <w:pStyle w:val="FirstParagraph"/>
      </w:pPr>
      <w:r>
        <w:t xml:space="preserve">Almaty, Kazakhstan's educational epicenter, houses 47% of the nation's secondary schools and serves over 150,000 students across grades 7-11. The Ministry of Education's recent "Digital Transformation Plan" has accelerated demand for modern teaching resources in Teacher Secondary classrooms. This initiative directly aligns with our core offerings—interactive STEM platforms, curriculum-aligned digital textbooks, and teacher development workshops. The Almaty market now represents 32% of our total national secondary education revenue, underscoring its strategic importance.</w:t>
      </w:r>
    </w:p>
    <w:bookmarkEnd w:id="21"/>
    <w:bookmarkStart w:id="23" w:name="q3-2023-sales-performance-breakdown"/>
    <w:p>
      <w:pPr>
        <w:pStyle w:val="Heading2"/>
      </w:pPr>
      <w:r>
        <w:t xml:space="preserve">Q3 2023 Sales Performance Breakdown</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Revenue (KZT)</w:t>
            </w:r>
          </w:p>
        </w:tc>
        <w:tc>
          <w:tcPr/>
          <w:p>
            <w:pPr>
              <w:pStyle w:val="Compact"/>
              <w:jc w:val="left"/>
            </w:pPr>
            <w:r>
              <w:t xml:space="preserve">YoY Change</w:t>
            </w:r>
          </w:p>
        </w:tc>
        <w:tc>
          <w:tcPr/>
          <w:p>
            <w:pPr>
              <w:pStyle w:val="Compact"/>
              <w:jc w:val="left"/>
            </w:pPr>
            <w:r>
              <w:t xml:space="preserve">Market Share Growth</w:t>
            </w:r>
          </w:p>
        </w:tc>
        <w:tc>
          <w:tcPr/>
          <w:p>
            <w:pPr>
              <w:pStyle w:val="Compact"/>
            </w:pPr>
          </w:p>
        </w:tc>
      </w:tr>
      <w:tr>
        <w:tc>
          <w:tcPr/>
          <w:p>
            <w:pPr>
              <w:pStyle w:val="Compact"/>
              <w:jc w:val="left"/>
            </w:pPr>
            <w:r>
              <w:t xml:space="preserve">Digital STEM Kits for Teacher Secondary Classrooms</w:t>
            </w:r>
          </w:p>
        </w:tc>
        <w:tc>
          <w:tcPr/>
          <w:p>
            <w:pPr>
              <w:pStyle w:val="Compact"/>
              <w:jc w:val="left"/>
            </w:pPr>
            <w:r>
              <w:t xml:space="preserve">14,250,000</w:t>
            </w:r>
          </w:p>
        </w:tc>
        <w:tc>
          <w:tcPr/>
          <w:p>
            <w:pPr>
              <w:pStyle w:val="Compact"/>
              <w:jc w:val="left"/>
            </w:pPr>
            <w:r>
              <w:t xml:space="preserve">+23.4%</w:t>
            </w:r>
          </w:p>
        </w:tc>
        <w:tc>
          <w:tcPr/>
          <w:p>
            <w:pPr>
              <w:pStyle w:val="Compact"/>
              <w:jc w:val="left"/>
            </w:pPr>
            <w:r>
              <w:t xml:space="preserve">+5.8%</w:t>
            </w:r>
          </w:p>
        </w:tc>
        <w:tc>
          <w:tcPr/>
          <w:p>
            <w:pPr>
              <w:pStyle w:val="Compact"/>
            </w:pPr>
          </w:p>
        </w:tc>
      </w:tr>
      <w:tr>
        <w:tc>
          <w:tcPr/>
          <w:p>
            <w:pPr>
              <w:pStyle w:val="Compact"/>
              <w:jc w:val="left"/>
            </w:pPr>
            <w:r>
              <w:t xml:space="preserve">Interactive Curriculum Modules (Kazakh/English)</w:t>
            </w:r>
          </w:p>
        </w:tc>
        <w:tc>
          <w:tcPr/>
          <w:p>
            <w:pPr>
              <w:pStyle w:val="Compact"/>
              <w:jc w:val="left"/>
            </w:pPr>
            <w:r>
              <w:t xml:space="preserve">9,780,000</w:t>
            </w:r>
          </w:p>
        </w:tc>
        <w:tc>
          <w:tcPr/>
          <w:p>
            <w:pPr>
              <w:pStyle w:val="Compact"/>
              <w:jc w:val="left"/>
            </w:pPr>
            <w:r>
              <w:t xml:space="preserve">+16.2%</w:t>
            </w:r>
          </w:p>
        </w:tc>
        <w:tc>
          <w:tcPr/>
          <w:p>
            <w:pPr>
              <w:pStyle w:val="Compact"/>
              <w:jc w:val="left"/>
            </w:pPr>
            <w:r>
              <w:t xml:space="preserve">+3.1%</w:t>
            </w:r>
          </w:p>
        </w:tc>
        <w:tc>
          <w:tcPr/>
          <w:p>
            <w:pPr>
              <w:pStyle w:val="Compact"/>
            </w:pPr>
          </w:p>
        </w:tc>
      </w:tr>
      <w:tr>
        <w:tc>
          <w:tcPr/>
          <w:p>
            <w:pPr>
              <w:pStyle w:val="Compact"/>
              <w:jc w:val="left"/>
            </w:pPr>
            <w:r>
              <w:t xml:space="preserve">Teacher Professional Development Workshops</w:t>
            </w:r>
          </w:p>
        </w:tc>
        <w:tc>
          <w:tcPr/>
          <w:p>
            <w:pPr>
              <w:pStyle w:val="Compact"/>
              <w:jc w:val="left"/>
            </w:pPr>
            <w:r>
              <w:t xml:space="preserve">5,320,000</w:t>
            </w:r>
            <w:r>
              <w:br/>
            </w:r>
            <w:r>
              <w:rPr>
                <w:bCs/>
                <w:b/>
              </w:rPr>
              <w:t xml:space="preserve">2. Teacher Secondary Digital Adoption Metrics:</w:t>
            </w:r>
            <w:r>
              <w:br/>
            </w:r>
            <w:r>
              <w:t xml:space="preserve">- 68% of Almaty secondary schools now use our digital resources (vs. 54% in Q1)</w:t>
            </w:r>
            <w:r>
              <w:br/>
            </w:r>
            <w:r>
              <w:t xml:space="preserve">- Avg. teacher usage: 4.3 hours/week per classroom</w:t>
            </w:r>
            <w:r>
              <w:br/>
            </w:r>
            <w:r>
              <w:t xml:space="preserve">- Student engagement increased by 29% in pilot schools</w:t>
            </w:r>
            <w:r>
              <w:br/>
            </w:r>
            <w:r>
              <w:br/>
            </w:r>
          </w:p>
        </w:tc>
        <w:tc>
          <w:tcPr/>
          <w:p>
            <w:pPr>
              <w:pStyle w:val="Compact"/>
              <w:jc w:val="left"/>
            </w:pPr>
            <w:r>
              <w:t xml:space="preserve">2,850,000</w:t>
            </w:r>
          </w:p>
        </w:tc>
        <w:tc>
          <w:tcPr/>
          <w:p>
            <w:pPr>
              <w:pStyle w:val="Compact"/>
              <w:jc w:val="left"/>
            </w:pPr>
            <w:r>
              <w:t xml:space="preserve">+8.7%</w:t>
            </w:r>
          </w:p>
        </w:tc>
        <w:tc>
          <w:tcPr/>
          <w:p>
            <w:pPr>
              <w:pStyle w:val="Compact"/>
              <w:jc w:val="left"/>
            </w:pPr>
            <w:r>
              <w:t xml:space="preserve">-1.2%</w:t>
            </w:r>
          </w:p>
        </w:tc>
      </w:tr>
    </w:tbl>
    <w:bookmarkStart w:id="22" w:name="key-growth-drivers-in-kazakhstan-almaty"/>
    <w:p>
      <w:pPr>
        <w:pStyle w:val="Heading3"/>
      </w:pPr>
      <w:r>
        <w:t xml:space="preserve">Key Growth Drivers in Kazakhstan Almaty</w:t>
      </w:r>
    </w:p>
    <w:p>
      <w:pPr>
        <w:numPr>
          <w:ilvl w:val="0"/>
          <w:numId w:val="1001"/>
        </w:numPr>
        <w:pStyle w:val="Compact"/>
      </w:pPr>
      <w:r>
        <w:rPr>
          <w:bCs/>
          <w:b/>
        </w:rPr>
        <w:t xml:space="preserve">Government Partnerships:</w:t>
      </w:r>
      <w:r>
        <w:t xml:space="preserve"> </w:t>
      </w:r>
      <w:r>
        <w:t xml:space="preserve">Successful collaboration with the Almaty City Education Department on the "Modern Teacher Initiative" has facilitated classroom deployments across 87 schools in Q3 alone.</w:t>
      </w:r>
    </w:p>
    <w:p>
      <w:pPr>
        <w:numPr>
          <w:ilvl w:val="0"/>
          <w:numId w:val="1001"/>
        </w:numPr>
        <w:pStyle w:val="Compact"/>
      </w:pPr>
      <w:r>
        <w:rPr>
          <w:bCs/>
          <w:b/>
        </w:rPr>
        <w:t xml:space="preserve">Cultural Alignment:</w:t>
      </w:r>
      <w:r>
        <w:t xml:space="preserve"> </w:t>
      </w:r>
      <w:r>
        <w:t xml:space="preserve">Our Kazakh-language curriculum modules for Teacher Secondary have gained 41% market share due to localized content matching national standards.</w:t>
      </w:r>
    </w:p>
    <w:p>
      <w:pPr>
        <w:numPr>
          <w:ilvl w:val="0"/>
          <w:numId w:val="1001"/>
        </w:numPr>
        <w:pStyle w:val="Compact"/>
      </w:pPr>
      <w:r>
        <w:rPr>
          <w:bCs/>
          <w:b/>
        </w:rPr>
        <w:t xml:space="preserve">Teacher Demand:</w:t>
      </w:r>
      <w:r>
        <w:t xml:space="preserve"> </w:t>
      </w:r>
      <w:r>
        <w:t xml:space="preserve">Surveys reveal 76% of Almaty secondary teachers actively seek digital tools, with demand outpacing supply in STEM subjects by 3.2x.</w:t>
      </w:r>
    </w:p>
    <w:bookmarkEnd w:id="22"/>
    <w:bookmarkEnd w:id="23"/>
    <w:bookmarkStart w:id="26" w:name="X5622bbcdbc9f466f0f0ea3f7f08b3433a2eabc1"/>
    <w:p>
      <w:pPr>
        <w:pStyle w:val="Heading2"/>
      </w:pPr>
      <w:r>
        <w:t xml:space="preserve">Regional Challenges &amp; Strategic Opportunities</w:t>
      </w:r>
    </w:p>
    <w:bookmarkStart w:id="24" w:name="X269c8ff7ecac0a86d41823f02fc9d77dde2b75e"/>
    <w:p>
      <w:pPr>
        <w:pStyle w:val="Heading3"/>
      </w:pPr>
      <w:r>
        <w:t xml:space="preserve">Current Market Barriers in Kazakhstan Almaty</w:t>
      </w:r>
    </w:p>
    <w:p>
      <w:pPr>
        <w:pStyle w:val="FirstParagraph"/>
      </w:pPr>
      <w:r>
        <w:t xml:space="preserve">Despite strong growth, three critical challenges persist in the Teacher Secondary market:</w:t>
      </w:r>
    </w:p>
    <w:p>
      <w:pPr>
        <w:numPr>
          <w:ilvl w:val="0"/>
          <w:numId w:val="1002"/>
        </w:numPr>
        <w:pStyle w:val="Compact"/>
      </w:pPr>
      <w:r>
        <w:rPr>
          <w:iCs/>
          <w:i/>
        </w:rPr>
        <w:t xml:space="preserve">Infrastructure Gaps:</w:t>
      </w:r>
      <w:r>
        <w:t xml:space="preserve"> </w:t>
      </w:r>
      <w:r>
        <w:t xml:space="preserve">28% of Almaty schools lack reliable high-speed internet, requiring adaptive offline solutions for our Teacher Secondary products.</w:t>
      </w:r>
    </w:p>
    <w:p>
      <w:pPr>
        <w:numPr>
          <w:ilvl w:val="0"/>
          <w:numId w:val="1002"/>
        </w:numPr>
        <w:pStyle w:val="Compact"/>
      </w:pPr>
      <w:r>
        <w:rPr>
          <w:iCs/>
          <w:i/>
        </w:rPr>
        <w:t xml:space="preserve">Cultural Resistance:</w:t>
      </w:r>
      <w:r>
        <w:t xml:space="preserve"> </w:t>
      </w:r>
      <w:r>
        <w:t xml:space="preserve">Traditional teaching methods remain prevalent in older secondary school faculties (62% of teachers &gt;45 years).</w:t>
      </w:r>
    </w:p>
    <w:p>
      <w:pPr>
        <w:numPr>
          <w:ilvl w:val="0"/>
          <w:numId w:val="1002"/>
        </w:numPr>
        <w:pStyle w:val="Compact"/>
      </w:pPr>
      <w:r>
        <w:rPr>
          <w:iCs/>
          <w:i/>
        </w:rPr>
        <w:t xml:space="preserve">Budget Constraints:</w:t>
      </w:r>
      <w:r>
        <w:t xml:space="preserve"> </w:t>
      </w:r>
      <w:r>
        <w:t xml:space="preserve">School funding cycles limit large-scale purchases during Q1-Q2, creating seasonal sales patterns.</w:t>
      </w:r>
    </w:p>
    <w:bookmarkEnd w:id="24"/>
    <w:bookmarkStart w:id="25" w:name="opportunities-for-expansion"/>
    <w:p>
      <w:pPr>
        <w:pStyle w:val="Heading3"/>
      </w:pPr>
      <w:r>
        <w:t xml:space="preserve">Opportunities for Expansion</w:t>
      </w:r>
    </w:p>
    <w:p>
      <w:pPr>
        <w:pStyle w:val="FirstParagraph"/>
      </w:pPr>
      <w:r>
        <w:t xml:space="preserve">The Almaty market presents three high-impact opportunities directly tied to Teacher Secondary growth:</w:t>
      </w:r>
    </w:p>
    <w:p>
      <w:pPr>
        <w:numPr>
          <w:ilvl w:val="0"/>
          <w:numId w:val="1003"/>
        </w:numPr>
        <w:pStyle w:val="Compact"/>
      </w:pPr>
      <w:r>
        <w:rPr>
          <w:bCs/>
          <w:b/>
        </w:rPr>
        <w:t xml:space="preserve">Public-Private Partnerships:</w:t>
      </w:r>
      <w:r>
        <w:t xml:space="preserve"> </w:t>
      </w:r>
      <w:r>
        <w:t xml:space="preserve">Leverage the Ministry of Education's $12M digital education fund for subsidized Teacher Secondary deployments in under-resourced schools.</w:t>
      </w:r>
    </w:p>
    <w:p>
      <w:pPr>
        <w:numPr>
          <w:ilvl w:val="0"/>
          <w:numId w:val="1003"/>
        </w:numPr>
        <w:pStyle w:val="Compact"/>
      </w:pPr>
      <w:r>
        <w:rPr>
          <w:bCs/>
          <w:b/>
        </w:rPr>
        <w:t xml:space="preserve">Teacher Certification Integration:</w:t>
      </w:r>
      <w:r>
        <w:t xml:space="preserve"> </w:t>
      </w:r>
      <w:r>
        <w:t xml:space="preserve">Partner with Almaty University to include our platform in certified teacher development programs.</w:t>
      </w:r>
    </w:p>
    <w:p>
      <w:pPr>
        <w:numPr>
          <w:ilvl w:val="0"/>
          <w:numId w:val="1003"/>
        </w:numPr>
        <w:pStyle w:val="Compact"/>
      </w:pPr>
      <w:r>
        <w:rPr>
          <w:bCs/>
          <w:b/>
        </w:rPr>
        <w:t xml:space="preserve">School Cluster Model:</w:t>
      </w:r>
      <w:r>
        <w:t xml:space="preserve"> </w:t>
      </w:r>
      <w:r>
        <w:t xml:space="preserve">Implement district-wide adoption programs (e.g., 50-school clusters in Almaty's Auezov district) to reduce per-school costs by 37%.</w:t>
      </w:r>
    </w:p>
    <w:bookmarkEnd w:id="25"/>
    <w:bookmarkEnd w:id="26"/>
    <w:bookmarkStart w:id="27" w:name="sales-strategy-recommendations"/>
    <w:p>
      <w:pPr>
        <w:pStyle w:val="Heading2"/>
      </w:pPr>
      <w:r>
        <w:t xml:space="preserve">Sales Strategy Recommendations</w:t>
      </w:r>
    </w:p>
    <w:p>
      <w:pPr>
        <w:pStyle w:val="FirstParagraph"/>
      </w:pPr>
      <w:r>
        <w:t xml:space="preserve">To maximize Teacher Secondary market potential in Kazakhstan Almaty, we recommend:</w:t>
      </w:r>
    </w:p>
    <w:p>
      <w:pPr>
        <w:numPr>
          <w:ilvl w:val="0"/>
          <w:numId w:val="1004"/>
        </w:numPr>
        <w:pStyle w:val="Compact"/>
      </w:pPr>
      <w:r>
        <w:rPr>
          <w:bCs/>
          <w:b/>
        </w:rPr>
        <w:t xml:space="preserve">Localized Content Expansion:</w:t>
      </w:r>
      <w:r>
        <w:t xml:space="preserve"> </w:t>
      </w:r>
      <w:r>
        <w:t xml:space="preserve">Allocate $750,000 to develop Kazakh-language physics and coding modules for grades 8-11 by Q1 2024.</w:t>
      </w:r>
    </w:p>
    <w:p>
      <w:pPr>
        <w:numPr>
          <w:ilvl w:val="0"/>
          <w:numId w:val="1004"/>
        </w:numPr>
        <w:pStyle w:val="Compact"/>
      </w:pPr>
      <w:r>
        <w:rPr>
          <w:bCs/>
          <w:b/>
        </w:rPr>
        <w:t xml:space="preserve">Digital Literacy Campaigns:</w:t>
      </w:r>
      <w:r>
        <w:t xml:space="preserve"> </w:t>
      </w:r>
      <w:r>
        <w:t xml:space="preserve">Launch "Teacher Digital Champions" program in Almaty schools with peer-led training to overcome resistance.</w:t>
      </w:r>
    </w:p>
    <w:p>
      <w:pPr>
        <w:numPr>
          <w:ilvl w:val="0"/>
          <w:numId w:val="1004"/>
        </w:numPr>
        <w:pStyle w:val="Compact"/>
      </w:pPr>
      <w:r>
        <w:rPr>
          <w:bCs/>
          <w:b/>
        </w:rPr>
        <w:t xml:space="preserve">Infrastructure Solutions:</w:t>
      </w:r>
      <w:r>
        <w:t xml:space="preserve"> </w:t>
      </w:r>
      <w:r>
        <w:t xml:space="preserve">Partner with local telecom providers (e.g., Kcell) for subsidized school internet bundles bundled with Teacher Secondary subscriptions.</w:t>
      </w:r>
    </w:p>
    <w:p>
      <w:pPr>
        <w:numPr>
          <w:ilvl w:val="0"/>
          <w:numId w:val="1004"/>
        </w:numPr>
        <w:pStyle w:val="Compact"/>
      </w:pPr>
      <w:r>
        <w:rPr>
          <w:bCs/>
          <w:b/>
        </w:rPr>
        <w:t xml:space="preserve">Predictive Sales Forecasting:</w:t>
      </w:r>
      <w:r>
        <w:t xml:space="preserve"> </w:t>
      </w:r>
      <w:r>
        <w:t xml:space="preserve">Implement AI-driven pipeline analysis using Almaty's education budget calendars to align sales cycles with fiscal planning.</w:t>
      </w:r>
    </w:p>
    <w:bookmarkEnd w:id="27"/>
    <w:bookmarkStart w:id="28" w:name="X85af31ef6f3f94c38f9aea3e5a912d7dfa17705"/>
    <w:p>
      <w:pPr>
        <w:pStyle w:val="Heading2"/>
      </w:pPr>
      <w:r>
        <w:t xml:space="preserve">Conclusion: The Teacher Secondary Imperative in Kazakhstan Almaty</w:t>
      </w:r>
    </w:p>
    <w:p>
      <w:pPr>
        <w:pStyle w:val="FirstParagraph"/>
      </w:pPr>
      <w:r>
        <w:t xml:space="preserve">This Sales Report unequivocally demonstrates that the Teacher Secondary segment is not merely a revenue stream—it is the strategic cornerstone of our Kazakhstan market. With Almaty representing over one-third of our national secondary education business, maintaining this growth trajectory requires focused investment. The data shows clear momentum: 68% adoption rate among targeted schools, 18.7% YoY revenue growth, and strong alignment with national education priorities.</w:t>
      </w:r>
    </w:p>
    <w:p>
      <w:pPr>
        <w:pStyle w:val="BodyText"/>
      </w:pPr>
      <w:r>
        <w:t xml:space="preserve">As we advance the Teacher Secondary initiative across Kazakhstan Almaty, we must remember that each product sold empowers educators to transform classroom experiences. The success of this Sales Report hinges on translating these numbers into meaningful teacher impact—ensuring every classroom in Almaty has access to world-class educational tools. Our commitment to this market isn't just about sales; it's about shaping Kazakhstan's educational future through the dedicated efforts of its secondary teachers.</w:t>
      </w:r>
    </w:p>
    <w:p>
      <w:pPr>
        <w:pStyle w:val="BodyText"/>
      </w:pPr>
      <w:r>
        <w:rPr>
          <w:bCs/>
          <w:b/>
        </w:rPr>
        <w:t xml:space="preserve">Prepared by:</w:t>
      </w:r>
      <w:r>
        <w:t xml:space="preserve"> </w:t>
      </w:r>
      <w:r>
        <w:t xml:space="preserve">Regional Sales Analytics Team</w:t>
      </w:r>
      <w:r>
        <w:br/>
      </w:r>
      <w:r>
        <w:rPr>
          <w:bCs/>
          <w:b/>
        </w:rPr>
        <w:t xml:space="preserve">Date:</w:t>
      </w:r>
      <w:r>
        <w:t xml:space="preserve"> </w:t>
      </w:r>
      <w:r>
        <w:t xml:space="preserve">October 26, 2023</w:t>
      </w:r>
    </w:p>
    <w:p>
      <w:pPr>
        <w:pStyle w:val="BodyText"/>
      </w:pPr>
      <w:r>
        <w:rPr>
          <w:bCs/>
          <w:b/>
        </w:rPr>
        <w:t xml:space="preserve">Key Metric Highlight:</w:t>
      </w:r>
      <w:r>
        <w:t xml:space="preserve"> </w:t>
      </w:r>
      <w:r>
        <w:t xml:space="preserve">The Teacher Secondary market in Kazakhstan Almaty has grown at 2.1x the national average for educational technology, making it our highest-potential vertical. Sustained investment here will yield significant returns as Almaty leads Kazakhstan's education modernization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Performance Report - Kazakhstan Almaty</dc:title>
  <dc:creator/>
  <dc:language>en</dc:language>
  <cp:keywords/>
  <dcterms:created xsi:type="dcterms:W3CDTF">2026-07-23T16:44:59Z</dcterms:created>
  <dcterms:modified xsi:type="dcterms:W3CDTF">2026-07-23T16:44:59Z</dcterms:modified>
</cp:coreProperties>
</file>

<file path=docProps/custom.xml><?xml version="1.0" encoding="utf-8"?>
<Properties xmlns="http://schemas.openxmlformats.org/officeDocument/2006/custom-properties" xmlns:vt="http://schemas.openxmlformats.org/officeDocument/2006/docPropsVTypes"/>
</file>