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Teacher</w:t>
      </w:r>
      <w:r>
        <w:t xml:space="preserve"> </w:t>
      </w:r>
      <w:r>
        <w:t xml:space="preserve">Secondary</w:t>
      </w:r>
      <w:r>
        <w:t xml:space="preserve"> </w:t>
      </w:r>
      <w:r>
        <w:t xml:space="preserve">Education</w:t>
      </w:r>
      <w:r>
        <w:t xml:space="preserve"> </w:t>
      </w:r>
      <w:r>
        <w:t xml:space="preserve">Solutions</w:t>
      </w:r>
      <w:r>
        <w:t xml:space="preserve"> </w:t>
      </w:r>
      <w:r>
        <w:t xml:space="preserve">-</w:t>
      </w:r>
      <w:r>
        <w:t xml:space="preserve"> </w:t>
      </w:r>
      <w:r>
        <w:t xml:space="preserve">Kuala</w:t>
      </w:r>
      <w:r>
        <w:t xml:space="preserve"> </w:t>
      </w:r>
      <w:r>
        <w:t xml:space="preserve">Lumpur,</w:t>
      </w:r>
      <w:r>
        <w:t xml:space="preserve"> </w:t>
      </w:r>
      <w:r>
        <w:t xml:space="preserve">Malaysia</w:t>
      </w:r>
    </w:p>
    <w:bookmarkStart w:id="28" w:name="Xf3e5040da0c5f537a93f719f32d12853edc8107"/>
    <w:p>
      <w:pPr>
        <w:pStyle w:val="Heading1"/>
      </w:pPr>
      <w:r>
        <w:t xml:space="preserve">Q3 2023 Sales Performance Report: Teacher Secondary Education Solutions in Kuala Lumpur, Malaysia</w:t>
      </w:r>
    </w:p>
    <w:bookmarkStart w:id="20" w:name="executive-summary"/>
    <w:p>
      <w:pPr>
        <w:pStyle w:val="Heading2"/>
      </w:pPr>
      <w:r>
        <w:t xml:space="preserve">Executive Summary</w:t>
      </w:r>
    </w:p>
    <w:p>
      <w:pPr>
        <w:pStyle w:val="FirstParagraph"/>
      </w:pPr>
      <w:r>
        <w:t xml:space="preserve">This comprehensive Sales Report details the performance of educational solutions tailored for Secondary School Teachers across Malaysia, with a strategic focus on the Kuala Lumpur metropolitan area. As the hub of Malaysia's education sector and home to over 35% of the nation's secondary institutions, Kuala Lumpur represents our most critical market for Teacher Secondary product offerings. The third quarter of 2023 demonstrated robust growth (+18.7% YoY) in sales revenue, driven by increased demand for digital pedagogical resources aligned with the Ministry of Education's (MOE) latest curriculum reforms.</w:t>
      </w:r>
    </w:p>
    <w:p>
      <w:pPr>
        <w:pStyle w:val="BodyText"/>
      </w:pPr>
      <w:r>
        <w:t xml:space="preserve">Notably, our flagship "KL Secondary Educator Suite" achieved a 24.3% sales increase compared to Q2 2023, cementing its position as the top-performing product line for Teacher Secondary professionals in this region. This growth directly correlates with Malaysia's strategic initiative to modernize secondary education through enhanced teacher training and technology integration – a priority underscored by recent MOE circulars targeting Kuala Lumpur schools.</w:t>
      </w:r>
    </w:p>
    <w:bookmarkEnd w:id="20"/>
    <w:bookmarkStart w:id="21" w:name="Xebb809c20490e6f343485f7f371091f438d4107"/>
    <w:p>
      <w:pPr>
        <w:pStyle w:val="Heading2"/>
      </w:pPr>
      <w:r>
        <w:t xml:space="preserve">Market Context: Teacher Secondary Landscape in Malaysia Kuala Lumpur</w:t>
      </w:r>
    </w:p>
    <w:p>
      <w:pPr>
        <w:pStyle w:val="FirstParagraph"/>
      </w:pPr>
      <w:r>
        <w:t xml:space="preserve">Kuala Lumpur's educational ecosystem is uniquely positioned at the forefront of Malaysia's secondary education transformation. With 1,872 secondary schools (including 415 public and 1,457 private institutions) within the Klang Valley region, KL represents a concentrated market for Teacher Secondary solutions. The Ministry of Education's "National Education Blueprint 2021-2030" specifically targets Kuala Lumpur as a pilot zone for implementing digital teaching frameworks, creating unprecedented demand for specialized resources.</w:t>
      </w:r>
    </w:p>
    <w:p>
      <w:pPr>
        <w:pStyle w:val="BodyText"/>
      </w:pPr>
      <w:r>
        <w:t xml:space="preserve">Our field research confirms that 78% of secondary teachers in KL prioritize professional development tools over traditional materials, directly influencing our product portfolio strategy. The recent "Digital Learning Transformation Plan" (DLTP) launched by MOE in June 2023 has accelerated this trend, with all Kuala Lumpur schools mandated to integrate digital resources into 30% of lesson plans by Q1 2024.</w:t>
      </w:r>
    </w:p>
    <w:bookmarkEnd w:id="21"/>
    <w:bookmarkStart w:id="22" w:name="q3-sales-performance-highlights"/>
    <w:p>
      <w:pPr>
        <w:pStyle w:val="Heading2"/>
      </w:pPr>
      <w:r>
        <w:t xml:space="preserve">Q3 Sales Performance Highlights</w:t>
      </w:r>
    </w:p>
    <w:p>
      <w:pPr>
        <w:pStyle w:val="FirstParagraph"/>
      </w:pPr>
      <w:r>
        <w:rPr>
          <w:bCs/>
          <w:b/>
        </w:rPr>
        <w:t xml:space="preserve">Revenue Breakdown:</w:t>
      </w:r>
    </w:p>
    <w:p>
      <w:pPr>
        <w:numPr>
          <w:ilvl w:val="0"/>
          <w:numId w:val="1001"/>
        </w:numPr>
        <w:pStyle w:val="Compact"/>
      </w:pPr>
      <w:r>
        <w:rPr>
          <w:bCs/>
          <w:b/>
        </w:rPr>
        <w:t xml:space="preserve">Teacher Secondary Digital Kits:</w:t>
      </w:r>
      <w:r>
        <w:t xml:space="preserve"> </w:t>
      </w:r>
      <w:r>
        <w:t xml:space="preserve">RM 8.7 million (35% of total revenue, +29.1% YoY)</w:t>
      </w:r>
    </w:p>
    <w:p>
      <w:pPr>
        <w:numPr>
          <w:ilvl w:val="0"/>
          <w:numId w:val="1001"/>
        </w:numPr>
        <w:pStyle w:val="Compact"/>
      </w:pPr>
      <w:r>
        <w:rPr>
          <w:bCs/>
          <w:b/>
        </w:rPr>
        <w:t xml:space="preserve">KL School Partnership Program:</w:t>
      </w:r>
      <w:r>
        <w:t xml:space="preserve"> </w:t>
      </w:r>
      <w:r>
        <w:t xml:space="preserve">RM 6.2 million (25%, +18.4% YoY)</w:t>
      </w:r>
    </w:p>
    <w:p>
      <w:pPr>
        <w:numPr>
          <w:ilvl w:val="0"/>
          <w:numId w:val="1001"/>
        </w:numPr>
        <w:pStyle w:val="Compact"/>
      </w:pPr>
      <w:r>
        <w:rPr>
          <w:bCs/>
          <w:b/>
        </w:rPr>
        <w:t xml:space="preserve">Professional Development Workshops:</w:t>
      </w:r>
      <w:r>
        <w:t xml:space="preserve"> </w:t>
      </w:r>
      <w:r>
        <w:t xml:space="preserve">RM 4.3 million (17%, +33.7% YoY)</w:t>
      </w:r>
    </w:p>
    <w:p>
      <w:pPr>
        <w:numPr>
          <w:ilvl w:val="0"/>
          <w:numId w:val="1001"/>
        </w:numPr>
        <w:pStyle w:val="Compact"/>
      </w:pPr>
      <w:r>
        <w:rPr>
          <w:bCs/>
          <w:b/>
        </w:rPr>
        <w:t xml:space="preserve">Educational Technology Subscriptions:</w:t>
      </w:r>
      <w:r>
        <w:t xml:space="preserve"> </w:t>
      </w:r>
      <w:r>
        <w:t xml:space="preserve">RM 5.1 million (21%, +14.6% YoY)</w:t>
      </w:r>
    </w:p>
    <w:p>
      <w:pPr>
        <w:pStyle w:val="FirstParagraph"/>
      </w:pPr>
      <w:r>
        <w:t xml:space="preserve">The Teacher Secondary Digital Kits witnessed exceptional growth due to their alignment with KL's MOE-mandated curriculum updates for Form 4 and 5 science subjects. This product line now accounts for 62% of all Teacher Secondary solutions sold in Kuala Lumpur, outperforming national averages by 17 percentage points.</w:t>
      </w:r>
    </w:p>
    <w:bookmarkEnd w:id="22"/>
    <w:bookmarkStart w:id="23" w:name="key-growth-drivers-in-kuala-lumpur"/>
    <w:p>
      <w:pPr>
        <w:pStyle w:val="Heading2"/>
      </w:pPr>
      <w:r>
        <w:t xml:space="preserve">Key Growth Drivers in Kuala Lumpur</w:t>
      </w:r>
    </w:p>
    <w:p>
      <w:pPr>
        <w:pStyle w:val="FirstParagraph"/>
      </w:pPr>
      <w:r>
        <w:rPr>
          <w:bCs/>
          <w:b/>
        </w:rPr>
        <w:t xml:space="preserve">MOE Curriculum Alignment:</w:t>
      </w:r>
      <w:r>
        <w:t xml:space="preserve"> </w:t>
      </w:r>
      <w:r>
        <w:t xml:space="preserve">Our content team accelerated updates to match KL-specific syllabi, particularly for the new STEM-focused secondary curriculum. This resulted in 42% of all Teacher Secondary sales coming from schools within the KL metropolitan area.</w:t>
      </w:r>
    </w:p>
    <w:p>
      <w:pPr>
        <w:pStyle w:val="BodyText"/>
      </w:pPr>
      <w:r>
        <w:rPr>
          <w:bCs/>
          <w:b/>
        </w:rPr>
        <w:t xml:space="preserve">Strategic Partnership Impact:</w:t>
      </w:r>
      <w:r>
        <w:t xml:space="preserve"> </w:t>
      </w:r>
      <w:r>
        <w:t xml:space="preserve">The recent MOE-registered partnership with Kuala Lumpur Education District (KLED) enabled us to deploy 37 district-wide teacher training sessions. These workshops directly generated RM 1.8 million in new business, with 92% of attendees becoming paying customers within 60 days.</w:t>
      </w:r>
    </w:p>
    <w:p>
      <w:pPr>
        <w:pStyle w:val="BodyText"/>
      </w:pPr>
      <w:r>
        <w:rPr>
          <w:bCs/>
          <w:b/>
        </w:rPr>
        <w:t xml:space="preserve">Local Content Localization:</w:t>
      </w:r>
      <w:r>
        <w:t xml:space="preserve"> </w:t>
      </w:r>
      <w:r>
        <w:t xml:space="preserve">We implemented a KL-focused content adaptation process, featuring Malaysian case studies and Malay-language interface options – a critical differentiator from international competitors. This localized approach contributed to our 19% higher conversion rate compared to national averages.</w:t>
      </w:r>
    </w:p>
    <w:bookmarkEnd w:id="23"/>
    <w:bookmarkStart w:id="24" w:name="market-challenges-analysis"/>
    <w:p>
      <w:pPr>
        <w:pStyle w:val="Heading2"/>
      </w:pPr>
      <w:r>
        <w:t xml:space="preserve">Market Challenges Analysis</w:t>
      </w:r>
    </w:p>
    <w:p>
      <w:pPr>
        <w:pStyle w:val="FirstParagraph"/>
      </w:pPr>
      <w:r>
        <w:t xml:space="preserve">Despite strong performance, two significant challenges emerged in the Kuala Lumpur Teacher Secondary market:</w:t>
      </w:r>
    </w:p>
    <w:p>
      <w:pPr>
        <w:numPr>
          <w:ilvl w:val="0"/>
          <w:numId w:val="1002"/>
        </w:numPr>
        <w:pStyle w:val="Compact"/>
      </w:pPr>
      <w:r>
        <w:rPr>
          <w:bCs/>
          <w:b/>
        </w:rPr>
        <w:t xml:space="preserve">Competitive Pressure:</w:t>
      </w:r>
      <w:r>
        <w:t xml:space="preserve"> </w:t>
      </w:r>
      <w:r>
        <w:t xml:space="preserve">International edtech firms (notably Singapore-based EduTech Global) have intensified competition through aggressive pricing on basic digital kits. This forced us to reposition our premium offerings as "KL-certified" solutions with MOE validation.</w:t>
      </w:r>
    </w:p>
    <w:p>
      <w:pPr>
        <w:numPr>
          <w:ilvl w:val="0"/>
          <w:numId w:val="1002"/>
        </w:numPr>
        <w:pStyle w:val="Compact"/>
      </w:pPr>
      <w:r>
        <w:rPr>
          <w:bCs/>
          <w:b/>
        </w:rPr>
        <w:t xml:space="preserve">Infrastructure Gaps:</w:t>
      </w:r>
      <w:r>
        <w:t xml:space="preserve"> </w:t>
      </w:r>
      <w:r>
        <w:t xml:space="preserve">31% of KL schools in peripheral districts (e.g., Petaling Jaya, Subang Jaya) reported inconsistent internet connectivity, impacting adoption of cloud-based Teacher Secondary resources. We mitigated this through offline-capable software bundles.</w:t>
      </w:r>
    </w:p>
    <w:p>
      <w:pPr>
        <w:pStyle w:val="FirstParagraph"/>
      </w:pPr>
      <w:r>
        <w:t xml:space="preserve">Crucially, these challenges were addressed through our KL-specific strategy: 73% of our sales team in Kuala Lumpur are local educators with secondary teaching experience, ensuring culturally relevant solutions that resonate with Teacher Secondary professionals' daily realities.</w:t>
      </w:r>
    </w:p>
    <w:bookmarkEnd w:id="24"/>
    <w:bookmarkStart w:id="25" w:name="opportunities-for-q4-2023-beyond"/>
    <w:p>
      <w:pPr>
        <w:pStyle w:val="Heading2"/>
      </w:pPr>
      <w:r>
        <w:t xml:space="preserve">Opportunities for Q4 2023 &amp; Beyond</w:t>
      </w:r>
    </w:p>
    <w:p>
      <w:pPr>
        <w:pStyle w:val="FirstParagraph"/>
      </w:pPr>
      <w:r>
        <w:t xml:space="preserve">Several high-potential opportunities exist to further capture the Kuala Lumpur Teacher Secondary market:</w:t>
      </w:r>
    </w:p>
    <w:p>
      <w:pPr>
        <w:numPr>
          <w:ilvl w:val="0"/>
          <w:numId w:val="1003"/>
        </w:numPr>
        <w:pStyle w:val="Compact"/>
      </w:pPr>
      <w:r>
        <w:rPr>
          <w:bCs/>
          <w:b/>
        </w:rPr>
        <w:t xml:space="preserve">MOE's New Teacher Certification Initiative:</w:t>
      </w:r>
      <w:r>
        <w:t xml:space="preserve"> </w:t>
      </w:r>
      <w:r>
        <w:t xml:space="preserve">The upcoming "KL Educator Accreditation Program" requires all secondary teachers to complete digital pedagogy training. We're developing a tiered certification package that will be sold exclusively through KLED channels.</w:t>
      </w:r>
    </w:p>
    <w:p>
      <w:pPr>
        <w:numPr>
          <w:ilvl w:val="0"/>
          <w:numId w:val="1003"/>
        </w:numPr>
        <w:pStyle w:val="Compact"/>
      </w:pPr>
      <w:r>
        <w:rPr>
          <w:bCs/>
          <w:b/>
        </w:rPr>
        <w:t xml:space="preserve">Private School Expansion:</w:t>
      </w:r>
      <w:r>
        <w:t xml:space="preserve"> </w:t>
      </w:r>
      <w:r>
        <w:t xml:space="preserve">With 147 new private secondary schools opening in KL's suburbs (2023-2024), we've launched a "Campus-to-Classroom" pricing model tailored for these institutions' budget structures.</w:t>
      </w:r>
    </w:p>
    <w:p>
      <w:pPr>
        <w:numPr>
          <w:ilvl w:val="0"/>
          <w:numId w:val="1003"/>
        </w:numPr>
        <w:pStyle w:val="Compact"/>
      </w:pPr>
      <w:r>
        <w:rPr>
          <w:bCs/>
          <w:b/>
        </w:rPr>
        <w:t xml:space="preserve">Parent-Teacher Engagement Tools:</w:t>
      </w:r>
      <w:r>
        <w:t xml:space="preserve"> </w:t>
      </w:r>
      <w:r>
        <w:t xml:space="preserve">Partnering with KL-based parent associations to develop integrated communication platforms – an underserved market segment with 68% of secondary schools requesting such solutions.</w:t>
      </w:r>
    </w:p>
    <w:p>
      <w:pPr>
        <w:pStyle w:val="FirstParagraph"/>
      </w:pPr>
      <w:r>
        <w:t xml:space="preserve">Data shows that KL secondary teachers spend 27% more on professional development than national averages, indicating strong market readiness for premium Teacher Secondary solutions.</w:t>
      </w:r>
    </w:p>
    <w:bookmarkEnd w:id="25"/>
    <w:bookmarkStart w:id="26" w:name="strategic-recommendations"/>
    <w:p>
      <w:pPr>
        <w:pStyle w:val="Heading2"/>
      </w:pPr>
      <w:r>
        <w:t xml:space="preserve">Strategic Recommendations</w:t>
      </w:r>
    </w:p>
    <w:p>
      <w:pPr>
        <w:numPr>
          <w:ilvl w:val="0"/>
          <w:numId w:val="1004"/>
        </w:numPr>
        <w:pStyle w:val="Compact"/>
      </w:pPr>
      <w:r>
        <w:rPr>
          <w:bCs/>
          <w:b/>
        </w:rPr>
        <w:t xml:space="preserve">Double Down on KL MOE Partnerships:</w:t>
      </w:r>
      <w:r>
        <w:t xml:space="preserve"> </w:t>
      </w:r>
      <w:r>
        <w:t xml:space="preserve">Allocate 30% of Q4 marketing budget to KLED co-branded events, targeting all 15 district education officers in Kuala Lumpur.</w:t>
      </w:r>
    </w:p>
    <w:p>
      <w:pPr>
        <w:numPr>
          <w:ilvl w:val="0"/>
          <w:numId w:val="1004"/>
        </w:numPr>
        <w:pStyle w:val="Compact"/>
      </w:pPr>
      <w:r>
        <w:rPr>
          <w:bCs/>
          <w:b/>
        </w:rPr>
        <w:t xml:space="preserve">Develop "KL Teacher Success" Content Hub:</w:t>
      </w:r>
      <w:r>
        <w:t xml:space="preserve"> </w:t>
      </w:r>
      <w:r>
        <w:t xml:space="preserve">Create localized video libraries featuring Malaysian secondary teachers sharing classroom success stories – addressing the #1 content request from our KL clients.</w:t>
      </w:r>
    </w:p>
    <w:p>
      <w:pPr>
        <w:numPr>
          <w:ilvl w:val="0"/>
          <w:numId w:val="1004"/>
        </w:numPr>
        <w:pStyle w:val="Compact"/>
      </w:pPr>
      <w:r>
        <w:rPr>
          <w:bCs/>
          <w:b/>
        </w:rPr>
        <w:t xml:space="preserve">Implement Tiered Pricing for Schools:</w:t>
      </w:r>
      <w:r>
        <w:t xml:space="preserve"> </w:t>
      </w:r>
      <w:r>
        <w:t xml:space="preserve">Introduce budget-friendly packages for low-income KL schools (30% of total market) while maintaining premium offerings for high-demand institutions.</w:t>
      </w:r>
    </w:p>
    <w:p>
      <w:pPr>
        <w:pStyle w:val="FirstParagraph"/>
      </w:pPr>
      <w:r>
        <w:t xml:space="preserve">These initiatives align with Malaysia's National Education Policy and position us to capture 28% of the Teacher Secondary solutions market in Kuala Lumpur by Q2 2024 – up from our current 19.5% share.</w:t>
      </w:r>
    </w:p>
    <w:bookmarkEnd w:id="26"/>
    <w:bookmarkStart w:id="27" w:name="conclusion"/>
    <w:p>
      <w:pPr>
        <w:pStyle w:val="Heading2"/>
      </w:pPr>
      <w:r>
        <w:t xml:space="preserve">Conclusion</w:t>
      </w:r>
    </w:p>
    <w:p>
      <w:pPr>
        <w:pStyle w:val="FirstParagraph"/>
      </w:pPr>
      <w:r>
        <w:t xml:space="preserve">The Q3 performance underscores Kuala Lumpur's pivotal role as Malaysia's education innovation epicenter. Our Teacher Secondary solutions have successfully navigated local market dynamics through strategic MOE alignment, hyper-localized content, and community-focused delivery models. As the Ministry of Education accelerates its digital transformation agenda across all KL secondary institutions, our data-driven approach positions us for sustained leadership in this critical market segment.</w:t>
      </w:r>
    </w:p>
    <w:p>
      <w:pPr>
        <w:pStyle w:val="BodyText"/>
      </w:pPr>
      <w:r>
        <w:t xml:space="preserve">Looking ahead to Q4 2023, we are confident that by deepening our partnerships with Kuala Lumpur education authorities and refining our Teacher Secondary products through real classroom feedback, we will achieve a minimum of 15% revenue growth while strengthening Malaysia's educational ecosystem from the ground up. The success of these strategies is not merely measured in sales figures but in the tangible impact on secondary teachers' professional capabilities across our nation's capital city.</w:t>
      </w:r>
    </w:p>
    <w:bookmarkEnd w:id="27"/>
    <w:p>
      <w:pPr>
        <w:pStyle w:val="BodyText"/>
      </w:pPr>
      <w:r>
        <w:t xml:space="preserve">Prepared for Malaysia Education Solutions Division | Kuala Lumpur Office | October 15, 2023</w:t>
      </w:r>
    </w:p>
    <w:p>
      <w:pPr>
        <w:pStyle w:val="BodyText"/>
      </w:pPr>
      <w:r>
        <w:rPr>
          <w:iCs/>
          <w:i/>
        </w:rPr>
        <w:t xml:space="preserve">This Sales Report complies with Ministry of Education Malaysia's data transparency standards for education sector reporting</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Teacher Secondary Education Solutions - Kuala Lumpur, Malaysia</dc:title>
  <dc:creator/>
  <dc:language>en</dc:language>
  <cp:keywords/>
  <dcterms:created xsi:type="dcterms:W3CDTF">2026-07-23T15:46:19Z</dcterms:created>
  <dcterms:modified xsi:type="dcterms:W3CDTF">2026-07-23T15:46:19Z</dcterms:modified>
</cp:coreProperties>
</file>

<file path=docProps/custom.xml><?xml version="1.0" encoding="utf-8"?>
<Properties xmlns="http://schemas.openxmlformats.org/officeDocument/2006/custom-properties" xmlns:vt="http://schemas.openxmlformats.org/officeDocument/2006/docPropsVTypes"/>
</file>