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Netherlands</w:t>
      </w:r>
      <w:r>
        <w:t xml:space="preserve"> </w:t>
      </w:r>
      <w:r>
        <w:t xml:space="preserve">Amsterdam</w:t>
      </w:r>
    </w:p>
    <w:bookmarkStart w:id="27" w:name="Xd11f5f2110c3f1f0e5741f3c87e4d9abaf83848"/>
    <w:p>
      <w:pPr>
        <w:pStyle w:val="Heading1"/>
      </w:pPr>
      <w:r>
        <w:t xml:space="preserve">Sales Report: Teacher Secondary Recruitment Performance in Netherlands Amsterdam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Educational Partnerships Division</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Teacher Secondary recruitment services within the Netherlands Amsterdam education sector. As demand for qualified secondary school educators continues to rise across Amsterdam’s diverse school landscape, our agency has secured a significant market share in placing specialized Teacher Secondary talent. This quarter, we achieved a 15% year-over-year growth in placements (42 new appointments versus 36 in Q3 2022), exceeding target by 8%. The report analyzes market dynamics, sales strategies, client feedback, and actionable insights for optimizing Teacher Secondary recruitment in the Amsterdam context.</w:t>
      </w:r>
    </w:p>
    <w:bookmarkEnd w:id="20"/>
    <w:bookmarkStart w:id="21" w:name="X3aa506ab0820161c5b0da6f7c20d0ef5209f001"/>
    <w:p>
      <w:pPr>
        <w:pStyle w:val="Heading2"/>
      </w:pPr>
      <w:r>
        <w:t xml:space="preserve">II. Market Analysis: Netherlands Amsterdam Education Landscape</w:t>
      </w:r>
    </w:p>
    <w:p>
      <w:pPr>
        <w:pStyle w:val="FirstParagraph"/>
      </w:pPr>
      <w:r>
        <w:t xml:space="preserve">Amsterdam’s secondary education sector faces acute teacher shortages, particularly in STEM subjects (31% vacancy rate), Dutch language instruction (27%), and special needs education. With 87% of schools in the Amsterdam metropolitan area reporting staffing gaps for Teacher Secondary roles (per Dutch Ministry of Education, August 2023), demand has intensified. Key drivers include:</w:t>
      </w:r>
    </w:p>
    <w:p>
      <w:pPr>
        <w:numPr>
          <w:ilvl w:val="0"/>
          <w:numId w:val="1001"/>
        </w:numPr>
        <w:pStyle w:val="Compact"/>
      </w:pPr>
      <w:r>
        <w:rPr>
          <w:bCs/>
          <w:b/>
        </w:rPr>
        <w:t xml:space="preserve">Demographic Shifts:</w:t>
      </w:r>
      <w:r>
        <w:t xml:space="preserve"> </w:t>
      </w:r>
      <w:r>
        <w:t xml:space="preserve">Growing immigrant populations requiring multilingual educators in Amsterdam schools.</w:t>
      </w:r>
    </w:p>
    <w:p>
      <w:pPr>
        <w:numPr>
          <w:ilvl w:val="0"/>
          <w:numId w:val="1001"/>
        </w:numPr>
        <w:pStyle w:val="Compact"/>
      </w:pPr>
      <w:r>
        <w:rPr>
          <w:bCs/>
          <w:b/>
        </w:rPr>
        <w:t xml:space="preserve">Curriculum Changes:</w:t>
      </w:r>
      <w:r>
        <w:t xml:space="preserve"> </w:t>
      </w:r>
      <w:r>
        <w:t xml:space="preserve">New national requirements for digital literacy integration across all secondary subjects.</w:t>
      </w:r>
    </w:p>
    <w:p>
      <w:pPr>
        <w:numPr>
          <w:ilvl w:val="0"/>
          <w:numId w:val="1001"/>
        </w:numPr>
        <w:pStyle w:val="Compact"/>
      </w:pPr>
      <w:r>
        <w:rPr>
          <w:bCs/>
          <w:b/>
        </w:rPr>
        <w:t xml:space="preserve">Tax Incentives:</w:t>
      </w:r>
      <w:r>
        <w:t xml:space="preserve"> </w:t>
      </w:r>
      <w:r>
        <w:t xml:space="preserve">Government subsidies for non-Dutch teachers willing to work in Amsterdam’s public schools (2023 Education Budget Amendment).</w:t>
      </w:r>
    </w:p>
    <w:p>
      <w:pPr>
        <w:pStyle w:val="FirstParagraph"/>
      </w:pPr>
      <w:r>
        <w:t xml:space="preserve">The Netherlands Amsterdam market represents 18% of our national Teacher Secondary pipeline, with institutions like Amstel College, OSG Zuidoost, and International School of Amsterdam driving demand.</w:t>
      </w:r>
    </w:p>
    <w:bookmarkEnd w:id="21"/>
    <w:bookmarkStart w:id="22" w:name="X851de65abab23806a82aa4ec5ab5714bbe985a0"/>
    <w:p>
      <w:pPr>
        <w:pStyle w:val="Heading2"/>
      </w:pPr>
      <w:r>
        <w:t xml:space="preserve">III. Sales Performance: Teacher Secondary Recruitment Metrics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Teacher Secondary Placements (Amsterdam)</w:t>
      </w:r>
    </w:p>
    <w:p>
      <w:pPr>
        <w:pStyle w:val="BodyText"/>
      </w:pPr>
      <w:r>
        <w:t xml:space="preserve">42</w:t>
      </w:r>
    </w:p>
    <w:p>
      <w:pPr>
        <w:pStyle w:val="BodyText"/>
      </w:pPr>
      <w:r>
        <w:t xml:space="preserve">36</w:t>
      </w:r>
    </w:p>
    <w:p>
      <w:pPr>
        <w:pStyle w:val="BodyText"/>
      </w:pPr>
      <w:r>
        <w:t xml:space="preserve">+15%</w:t>
      </w:r>
    </w:p>
    <w:p>
      <w:pPr>
        <w:pStyle w:val="BodyText"/>
      </w:pPr>
      <w:r>
        <w:t xml:space="preserve">Average Time-to-Hire (Days)</w:t>
      </w:r>
    </w:p>
    <w:p>
      <w:pPr>
        <w:pStyle w:val="BodyText"/>
      </w:pPr>
      <w:r>
        <w:t xml:space="preserve">28</w:t>
      </w:r>
    </w:p>
    <w:p>
      <w:pPr>
        <w:pStyle w:val="BodyText"/>
      </w:pPr>
      <w:r>
        <w:t xml:space="preserve">37-24%</w:t>
      </w:r>
    </w:p>
    <w:p>
      <w:pPr>
        <w:pStyle w:val="BodyText"/>
      </w:pPr>
      <w:r>
        <w:t xml:space="preserve">Clients Served (Schools/Institutions)</w:t>
      </w:r>
    </w:p>
    <w:p>
      <w:pPr>
        <w:pStyle w:val="BodyText"/>
      </w:pPr>
      <w:r>
        <w:t xml:space="preserve">19</w:t>
      </w:r>
    </w:p>
    <w:p>
      <w:pPr>
        <w:pStyle w:val="BodyText"/>
      </w:pPr>
      <w:r>
        <w:t xml:space="preserve">15</w:t>
      </w:r>
    </w:p>
    <w:p>
      <w:pPr>
        <w:pStyle w:val="BodyText"/>
      </w:pPr>
      <w:r>
        <w:t xml:space="preserve">Average Placement Fee per Teacher Secondary Role</w:t>
      </w:r>
    </w:p>
    <w:p>
      <w:pPr>
        <w:pStyle w:val="BodyText"/>
      </w:pPr>
      <w:r>
        <w:t xml:space="preserve">The success is directly linked to our Amsterdam-specific recruitment strategy, including:</w:t>
      </w:r>
    </w:p>
    <w:p>
      <w:pPr>
        <w:numPr>
          <w:ilvl w:val="0"/>
          <w:numId w:val="1002"/>
        </w:numPr>
        <w:pStyle w:val="Compact"/>
      </w:pPr>
      <w:r>
        <w:rPr>
          <w:bCs/>
          <w:b/>
        </w:rPr>
        <w:t xml:space="preserve">Localized Partnerships:</w:t>
      </w:r>
      <w:r>
        <w:t xml:space="preserve"> </w:t>
      </w:r>
      <w:r>
        <w:t xml:space="preserve">Collaborating with Utrecht University’s Teacher Training Program and Amsterdam’s Education Network for priority access to Dutch-certified Teacher Secondary candidates.</w:t>
      </w:r>
    </w:p>
    <w:p>
      <w:pPr>
        <w:numPr>
          <w:ilvl w:val="0"/>
          <w:numId w:val="1002"/>
        </w:numPr>
        <w:pStyle w:val="Compact"/>
      </w:pPr>
      <w:r>
        <w:rPr>
          <w:bCs/>
          <w:b/>
        </w:rPr>
        <w:t xml:space="preserve">Dutch Language Integration:</w:t>
      </w:r>
      <w:r>
        <w:t xml:space="preserve"> </w:t>
      </w:r>
      <w:r>
        <w:t xml:space="preserve">Mandatory A2/B1 Dutch proficiency assessments for all non-native speakers – a critical requirement in Netherlands Amsterdam schools.</w:t>
      </w:r>
    </w:p>
    <w:p>
      <w:pPr>
        <w:numPr>
          <w:ilvl w:val="0"/>
          <w:numId w:val="1002"/>
        </w:numPr>
        <w:pStyle w:val="Compact"/>
      </w:pPr>
      <w:r>
        <w:rPr>
          <w:bCs/>
          <w:b/>
        </w:rPr>
        <w:t xml:space="preserve">Cultural Fit Screening:</w:t>
      </w:r>
      <w:r>
        <w:t xml:space="preserve"> </w:t>
      </w:r>
      <w:r>
        <w:t xml:space="preserve">Evaluating candidate alignment with Amsterdam’s multicultural school environment (e.g., experience with refugee student populations).</w:t>
      </w:r>
    </w:p>
    <w:p>
      <w:pPr>
        <w:pStyle w:val="FirstParagraph"/>
      </w:pPr>
      <w:r>
        <w:t xml:space="preserve">Our sales team achieved a 68% conversion rate from initial client leads to placements – significantly above the industry average of 45% for Teacher Secondary roles in the Netherlands.</w:t>
      </w:r>
    </w:p>
    <w:bookmarkEnd w:id="22"/>
    <w:bookmarkStart w:id="23" w:name="v.-client-feedback-market-validation"/>
    <w:p>
      <w:pPr>
        <w:pStyle w:val="Heading2"/>
      </w:pPr>
      <w:r>
        <w:t xml:space="preserve">V. Client Feedback &amp; Market Validation</w:t>
      </w:r>
    </w:p>
    <w:p>
      <w:pPr>
        <w:pStyle w:val="FirstParagraph"/>
      </w:pPr>
      <w:r>
        <w:t xml:space="preserve">Amsterdam schools provided consistent validation through post-placement surveys:</w:t>
      </w:r>
    </w:p>
    <w:p>
      <w:pPr>
        <w:numPr>
          <w:ilvl w:val="0"/>
          <w:numId w:val="1003"/>
        </w:numPr>
        <w:pStyle w:val="Compact"/>
      </w:pPr>
      <w:r>
        <w:t xml:space="preserve">"The Teacher Secondary candidates placed by your agency demonstrated exceptional cultural adaptability to our diverse Amsterdam student body." – Head of HR, OSG Zuidoost (Public School)</w:t>
      </w:r>
    </w:p>
    <w:p>
      <w:pPr>
        <w:numPr>
          <w:ilvl w:val="0"/>
          <w:numId w:val="1003"/>
        </w:numPr>
        <w:pStyle w:val="Compact"/>
      </w:pPr>
      <w:r>
        <w:t xml:space="preserve">"Your team’s understanding of the Dutch secondary education framework (vmbo/havo/vwo) ensured seamless integration into our curriculum." – Principal, International School of Amsterdam</w:t>
      </w:r>
    </w:p>
    <w:p>
      <w:pPr>
        <w:numPr>
          <w:ilvl w:val="0"/>
          <w:numId w:val="1003"/>
        </w:numPr>
        <w:pStyle w:val="Compact"/>
      </w:pPr>
      <w:r>
        <w:t xml:space="preserve">92% of clients reported reduced onboarding time for Teacher Secondary staff sourced through our service.</w:t>
      </w:r>
    </w:p>
    <w:p>
      <w:pPr>
        <w:pStyle w:val="FirstParagraph"/>
      </w:pPr>
      <w:r>
        <w:t xml:space="preserve">This feedback confirms that our specialized approach to Teacher Secondary recruitment aligns with Amsterdam’s unique educational needs, particularly in navigating the Netherlands’ complex certification system (e.g., BKO/BOAO requirements).</w:t>
      </w:r>
    </w:p>
    <w:bookmarkEnd w:id="23"/>
    <w:bookmarkStart w:id="24" w:name="vi.-challenges-strategic-adjustments"/>
    <w:p>
      <w:pPr>
        <w:pStyle w:val="Heading2"/>
      </w:pPr>
      <w:r>
        <w:t xml:space="preserve">VI. Challenges &amp; Strategic Adjustments</w:t>
      </w:r>
    </w:p>
    <w:p>
      <w:pPr>
        <w:pStyle w:val="FirstParagraph"/>
      </w:pPr>
      <w:r>
        <w:t xml:space="preserve">Two key challenges emerged during Q3 2023:</w:t>
      </w:r>
    </w:p>
    <w:p>
      <w:pPr>
        <w:numPr>
          <w:ilvl w:val="0"/>
          <w:numId w:val="1004"/>
        </w:numPr>
        <w:pStyle w:val="Compact"/>
      </w:pPr>
      <w:r>
        <w:rPr>
          <w:bCs/>
          <w:b/>
        </w:rPr>
        <w:t xml:space="preserve">Competition for Dutch-Certified Teachers:</w:t>
      </w:r>
      <w:r>
        <w:t xml:space="preserve"> </w:t>
      </w:r>
      <w:r>
        <w:t xml:space="preserve">Increased demand from Amsterdam’s private schools (e.g., Gynzy International) for BKO-certified Teacher Secondary staff. Response: Launched a dedicated "Certification Acceleration Program" in partnership with Amsterdam University College.</w:t>
      </w:r>
    </w:p>
    <w:p>
      <w:pPr>
        <w:numPr>
          <w:ilvl w:val="0"/>
          <w:numId w:val="1004"/>
        </w:numPr>
        <w:pStyle w:val="Compact"/>
      </w:pPr>
      <w:r>
        <w:rPr>
          <w:bCs/>
          <w:b/>
        </w:rPr>
        <w:t xml:space="preserve">Language Barrier:</w:t>
      </w:r>
      <w:r>
        <w:t xml:space="preserve"> </w:t>
      </w:r>
      <w:r>
        <w:t xml:space="preserve">34% of non-Dutch candidates required additional Dutch instruction pre-placement. Response: Partnered with Language Centre Amsterdam to offer subsidized A2/B1 courses for candidates, reducing time-to-hire by 12 days.</w:t>
      </w:r>
    </w:p>
    <w:p>
      <w:pPr>
        <w:pStyle w:val="FirstParagraph"/>
      </w:pPr>
      <w:r>
        <w:t xml:space="preserve">These adjustments directly addressed Netherlands Amsterdam’s market pain points and contributed to our improved sales metrics.</w:t>
      </w:r>
    </w:p>
    <w:bookmarkEnd w:id="24"/>
    <w:bookmarkStart w:id="25" w:name="X396e987a25a8a9d4f5f22af1780fc1836ce32ec"/>
    <w:p>
      <w:pPr>
        <w:pStyle w:val="Heading2"/>
      </w:pPr>
      <w:r>
        <w:t xml:space="preserve">VII. Future Outlook: Teacher Secondary in Amsterdam</w:t>
      </w:r>
    </w:p>
    <w:p>
      <w:pPr>
        <w:pStyle w:val="FirstParagraph"/>
      </w:pPr>
      <w:r>
        <w:t xml:space="preserve">For Q4 2023, we project a 19% growth in Teacher Secondary placements, driven by:</w:t>
      </w:r>
    </w:p>
    <w:p>
      <w:pPr>
        <w:numPr>
          <w:ilvl w:val="0"/>
          <w:numId w:val="1005"/>
        </w:numPr>
        <w:pStyle w:val="Compact"/>
      </w:pPr>
      <w:r>
        <w:rPr>
          <w:bCs/>
          <w:b/>
        </w:rPr>
        <w:t xml:space="preserve">Government Initiatives:</w:t>
      </w:r>
      <w:r>
        <w:t xml:space="preserve"> </w:t>
      </w:r>
      <w:r>
        <w:t xml:space="preserve">New national funding for STEM teacher recruitment (effective November 2023), targeting Amsterdam schools with high refugee student populations.</w:t>
      </w:r>
    </w:p>
    <w:p>
      <w:pPr>
        <w:numPr>
          <w:ilvl w:val="0"/>
          <w:numId w:val="1005"/>
        </w:numPr>
        <w:pStyle w:val="Compact"/>
      </w:pPr>
      <w:r>
        <w:rPr>
          <w:bCs/>
          <w:b/>
        </w:rPr>
        <w:t xml:space="preserve">Technology Integration:</w:t>
      </w:r>
      <w:r>
        <w:t xml:space="preserve"> </w:t>
      </w:r>
      <w:r>
        <w:t xml:space="preserve">Rising demand for Teacher Secondary candidates skilled in EdTech tools used across Amsterdam’s smart school infrastructure (e.g., SchoolLoop, OneNote).</w:t>
      </w:r>
    </w:p>
    <w:p>
      <w:pPr>
        <w:numPr>
          <w:ilvl w:val="0"/>
          <w:numId w:val="1005"/>
        </w:numPr>
        <w:pStyle w:val="Compact"/>
      </w:pPr>
      <w:r>
        <w:rPr>
          <w:bCs/>
          <w:b/>
        </w:rPr>
        <w:t xml:space="preserve">Demographic Trends:</w:t>
      </w:r>
      <w:r>
        <w:t xml:space="preserve"> </w:t>
      </w:r>
      <w:r>
        <w:t xml:space="preserve">12,000 new secondary students entering Amsterdam schools by 2024 (Amsterdam Municipality Education Report), requiring 65+ additional Teacher Secondary roles.</w:t>
      </w:r>
    </w:p>
    <w:p>
      <w:pPr>
        <w:pStyle w:val="FirstParagraph"/>
      </w:pPr>
      <w:r>
        <w:t xml:space="preserve">Our sales strategy will prioritize:</w:t>
      </w:r>
    </w:p>
    <w:p>
      <w:pPr>
        <w:numPr>
          <w:ilvl w:val="0"/>
          <w:numId w:val="1006"/>
        </w:numPr>
        <w:pStyle w:val="Compact"/>
      </w:pPr>
      <w:r>
        <w:t xml:space="preserve">Expanding partnerships with Amsterdam’s vocational schools (MBO) to address vmbo-specific vacancies.</w:t>
      </w:r>
    </w:p>
    <w:p>
      <w:pPr>
        <w:numPr>
          <w:ilvl w:val="0"/>
          <w:numId w:val="1006"/>
        </w:numPr>
        <w:pStyle w:val="Compact"/>
      </w:pPr>
      <w:r>
        <w:t xml:space="preserve">Developing a digital "Teacher Secondary Talent Dashboard" for real-time vacancy tracking across Netherlands Amsterdam institutions.</w:t>
      </w:r>
    </w:p>
    <w:p>
      <w:pPr>
        <w:numPr>
          <w:ilvl w:val="0"/>
          <w:numId w:val="1006"/>
        </w:numPr>
        <w:pStyle w:val="Compact"/>
      </w:pPr>
      <w:r>
        <w:t xml:space="preserve">Introducing a "Cultural Ambassador" program for non-Dutch teachers to facilitate smoother integration into Amsterdam’s school communities.</w:t>
      </w:r>
    </w:p>
    <w:bookmarkEnd w:id="25"/>
    <w:bookmarkStart w:id="26" w:name="viii.-conclusion"/>
    <w:p>
      <w:pPr>
        <w:pStyle w:val="Heading2"/>
      </w:pPr>
      <w:r>
        <w:t xml:space="preserve">VIII. Conclusion</w:t>
      </w:r>
    </w:p>
    <w:p>
      <w:pPr>
        <w:pStyle w:val="FirstParagraph"/>
      </w:pPr>
      <w:r>
        <w:t xml:space="preserve">This Sales Report confirms the strategic importance of specialized Teacher Secondary recruitment within the Netherlands Amsterdam education market. By leveraging deep local knowledge, compliance with Dutch certification standards, and culturally attuned sales processes, our agency has become a preferred partner for schools navigating staffing challenges in this dynamic sector. The 15% Q3 growth demonstrates not only commercial success but also measurable impact on educational outcomes across Amsterdam’s secondary institutions. We recommend doubling down on the "Amsterdam Education Ecosystem" engagement strategy to capture an estimated 28% market share by Q2 2024, directly supporting the Netherlands’ national goal of achieving full teacher capacity in secondary education by 2030.</w:t>
      </w:r>
    </w:p>
    <w:p>
      <w:pPr>
        <w:pStyle w:val="BodyText"/>
      </w:pPr>
      <w:r>
        <w:rPr>
          <w:bCs/>
          <w:b/>
        </w:rPr>
        <w:t xml:space="preserve">Prepared By:</w:t>
      </w:r>
      <w:r>
        <w:t xml:space="preserve"> </w:t>
      </w:r>
      <w:r>
        <w:t xml:space="preserve">Sarah Jansen, Director of Sales &amp; Partnerships</w:t>
      </w:r>
      <w:r>
        <w:br/>
      </w:r>
      <w:r>
        <w:rPr>
          <w:bCs/>
          <w:b/>
        </w:rPr>
        <w:t xml:space="preserve">Contact:</w:t>
      </w:r>
      <w:r>
        <w:t xml:space="preserve"> </w:t>
      </w:r>
      <w:r>
        <w:t xml:space="preserve">sarah.jansen@educationrecruit.nl | +31 (0)20 456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Netherlands Amsterdam</dc:title>
  <dc:creator/>
  <dc:language>en</dc:language>
  <cp:keywords/>
  <dcterms:created xsi:type="dcterms:W3CDTF">2026-07-21T09:50:06Z</dcterms:created>
  <dcterms:modified xsi:type="dcterms:W3CDTF">2026-07-21T09:50:06Z</dcterms:modified>
</cp:coreProperties>
</file>

<file path=docProps/custom.xml><?xml version="1.0" encoding="utf-8"?>
<Properties xmlns="http://schemas.openxmlformats.org/officeDocument/2006/custom-properties" xmlns:vt="http://schemas.openxmlformats.org/officeDocument/2006/docPropsVTypes"/>
</file>