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Sales</w:t>
      </w:r>
      <w:r>
        <w:t xml:space="preserve"> </w:t>
      </w:r>
      <w:r>
        <w:t xml:space="preserve">Report:</w:t>
      </w:r>
      <w:r>
        <w:t xml:space="preserve"> </w:t>
      </w:r>
      <w:r>
        <w:t xml:space="preserve">Auckland</w:t>
      </w:r>
      <w:r>
        <w:t xml:space="preserve"> </w:t>
      </w:r>
      <w:r>
        <w:t xml:space="preserve">New</w:t>
      </w:r>
      <w:r>
        <w:t xml:space="preserve"> </w:t>
      </w:r>
      <w:r>
        <w:t xml:space="preserve">Zealand</w:t>
      </w:r>
      <w:r>
        <w:t xml:space="preserve"> </w:t>
      </w:r>
      <w:r>
        <w:t xml:space="preserve">Market</w:t>
      </w:r>
    </w:p>
    <w:bookmarkStart w:id="27" w:name="X8f4c751c96b38dc83e5bdb5ab86eac0e7d78192"/>
    <w:p>
      <w:pPr>
        <w:pStyle w:val="Heading1"/>
      </w:pPr>
      <w:r>
        <w:t xml:space="preserve">Comprehensive Sales Report: Secondary Teacher Recruitment &amp; Development Services for New Zealand Auckland Schools (Q3 2023)</w:t>
      </w:r>
    </w:p>
    <w:bookmarkStart w:id="20" w:name="executive-summary"/>
    <w:p>
      <w:pPr>
        <w:pStyle w:val="Heading2"/>
      </w:pPr>
      <w:r>
        <w:t xml:space="preserve">Executive Summary</w:t>
      </w:r>
    </w:p>
    <w:p>
      <w:pPr>
        <w:pStyle w:val="FirstParagraph"/>
      </w:pPr>
      <w:r>
        <w:t xml:space="preserve">This report details the performance and market dynamics of our specialized "Teacher Secondary" recruitment and professional development service across New Zealand's largest urban center, Auckland. Operating within Auckland's unique educational ecosystem—which serves over 140 secondary schools serving more than 150,000 students—we have achieved a 22% year-on-year growth in placements during the third quarter of 2023. This success directly responds to critical shortages in key subject areas and culturally responsive teaching capacity within Auckland's diverse school communities. The report confirms that our "Teacher Secondary" model is now the preferred partner for over 65% of Auckland secondary schools seeking high-quality educators aligned with New Zealand Curriculum (NZC) and Te Reo Māori integration requirements.</w:t>
      </w:r>
    </w:p>
    <w:bookmarkEnd w:id="20"/>
    <w:bookmarkStart w:id="21" w:name="Xcd35a305331a006144bd2d3af71e29254e83824"/>
    <w:p>
      <w:pPr>
        <w:pStyle w:val="Heading2"/>
      </w:pPr>
      <w:r>
        <w:t xml:space="preserve">Market Context: New Zealand Auckland's Secondary Education Landscape</w:t>
      </w:r>
    </w:p>
    <w:p>
      <w:pPr>
        <w:pStyle w:val="FirstParagraph"/>
      </w:pPr>
      <w:r>
        <w:t xml:space="preserve">Auckland's secondary education sector faces unprecedented challenges: rapid population growth, increasing student diversity (with 40% of Auckland students identifying as Māori, Pasifika, or Asian), and persistent teacher shortages. According to the Ministry of Education's 2023 Auckland Education Report, 78% of secondary schools reported vacancies in core STEM and Languages subjects during Term 3. Crucially, only 45% of Auckland schools met the National Quality Standard for Māori student engagement—a gap our "Teacher Secondary" service specifically targets. This market context underscores why tailored solutions for New Zealand's Auckland secondary teachers are not just beneficial but essential for educational equity.</w:t>
      </w:r>
    </w:p>
    <w:bookmarkEnd w:id="21"/>
    <w:bookmarkStart w:id="22" w:name="X9a108ad75ecc67aae84cbd81b256be16813a0ca"/>
    <w:p>
      <w:pPr>
        <w:pStyle w:val="Heading2"/>
      </w:pPr>
      <w:r>
        <w:t xml:space="preserve">Service Overview: The Teacher Secondary Model</w:t>
      </w:r>
    </w:p>
    <w:p>
      <w:pPr>
        <w:pStyle w:val="FirstParagraph"/>
      </w:pPr>
      <w:r>
        <w:t xml:space="preserve">Our "Teacher Secondary" service is a bespoke solution designed exclusively for secondary schools in New Zealand, with deep Auckland-specific expertise. It integrates three pillars:</w:t>
      </w:r>
    </w:p>
    <w:p>
      <w:pPr>
        <w:numPr>
          <w:ilvl w:val="0"/>
          <w:numId w:val="1001"/>
        </w:numPr>
        <w:pStyle w:val="Compact"/>
      </w:pPr>
      <w:r>
        <w:rPr>
          <w:bCs/>
          <w:b/>
        </w:rPr>
        <w:t xml:space="preserve">Culturally Responsive Recruitment:</w:t>
      </w:r>
      <w:r>
        <w:t xml:space="preserve"> </w:t>
      </w:r>
      <w:r>
        <w:t xml:space="preserve">We prioritize candidates with proven experience in Auckland's multicultural contexts, including certified Te Reo Māori proficiency and knowledge of Pasifika educational frameworks. 92% of placements in Q3 were for teachers who completed our mandatory "Auckland Inclusive Pedagogy" training.</w:t>
      </w:r>
    </w:p>
    <w:p>
      <w:pPr>
        <w:numPr>
          <w:ilvl w:val="0"/>
          <w:numId w:val="1001"/>
        </w:numPr>
        <w:pStyle w:val="Compact"/>
      </w:pPr>
      <w:r>
        <w:rPr>
          <w:bCs/>
          <w:b/>
        </w:rPr>
        <w:t xml:space="preserve">Subject-Specific Development:</w:t>
      </w:r>
      <w:r>
        <w:t xml:space="preserve"> </w:t>
      </w:r>
      <w:r>
        <w:t xml:space="preserve">Focused on high-demand subjects: NCEA Level 3 Physics (47% vacancy rate in Auckland), Digital Technologies, and Māori Language (Te Reo). We partner with the University of Auckland to deliver accredited micro-credentials.</w:t>
      </w:r>
    </w:p>
    <w:p>
      <w:pPr>
        <w:numPr>
          <w:ilvl w:val="0"/>
          <w:numId w:val="1001"/>
        </w:numPr>
        <w:pStyle w:val="Compact"/>
      </w:pPr>
      <w:r>
        <w:rPr>
          <w:bCs/>
          <w:b/>
        </w:rPr>
        <w:t xml:space="preserve">Retention &amp; Leadership Pathways:</w:t>
      </w:r>
      <w:r>
        <w:t xml:space="preserve"> </w:t>
      </w:r>
      <w:r>
        <w:t xml:space="preserve">A unique "Secondary Teacher Growth Program" offers mentorship from experienced Auckland principals and pathways to leadership roles within the Auckland Educational Network (AEN).</w:t>
      </w:r>
    </w:p>
    <w:bookmarkEnd w:id="22"/>
    <w:bookmarkStart w:id="23" w:name="X12ea268cf1276afa6a22d13c96b1329675d9fdf"/>
    <w:p>
      <w:pPr>
        <w:pStyle w:val="Heading2"/>
      </w:pPr>
      <w:r>
        <w:t xml:space="preserve">Q3 2023 Sales Performance: New Zealand Auckland Focus</w:t>
      </w:r>
    </w:p>
    <w:p>
      <w:pPr>
        <w:pStyle w:val="FirstParagraph"/>
      </w:pPr>
      <w:r>
        <w:t xml:space="preserve">The sales performance for "Teacher Secondary" in New Zealand's Auckland region demonstrates exceptional market penetration:</w:t>
      </w:r>
    </w:p>
    <w:p>
      <w:pPr>
        <w:pStyle w:val="BodyText"/>
      </w:pPr>
      <w:r>
        <w:t xml:space="preserve">Key Metric</w:t>
      </w:r>
    </w:p>
    <w:p>
      <w:pPr>
        <w:pStyle w:val="BodyText"/>
      </w:pPr>
      <w:r>
        <w:t xml:space="preserve">Q3 2023 (Auckland)</w:t>
      </w:r>
    </w:p>
    <w:p>
      <w:pPr>
        <w:pStyle w:val="BodyText"/>
      </w:pPr>
      <w:r>
        <w:t xml:space="preserve">YoY Change</w:t>
      </w:r>
    </w:p>
    <w:p>
      <w:pPr>
        <w:pStyle w:val="BodyText"/>
      </w:pPr>
      <w:r>
        <w:t xml:space="preserve">Auckland Market Average</w:t>
      </w:r>
    </w:p>
    <w:p>
      <w:pPr>
        <w:pStyle w:val="BodyText"/>
      </w:pPr>
      <w:r>
        <w:t xml:space="preserve">Total Placements</w:t>
      </w:r>
    </w:p>
    <w:p>
      <w:pPr>
        <w:pStyle w:val="BodyText"/>
      </w:pPr>
      <w:r>
        <w:t xml:space="preserve">147 teachers</w:t>
      </w:r>
    </w:p>
    <w:p>
      <w:pPr>
        <w:pStyle w:val="BodyText"/>
      </w:pPr>
      <w:r>
        <w:t xml:space="preserve">+22%</w:t>
      </w:r>
    </w:p>
    <w:p>
      <w:pPr>
        <w:pStyle w:val="BodyText"/>
      </w:pPr>
      <w:r>
        <w:t xml:space="preserve">+8% (Industry)</w:t>
      </w:r>
    </w:p>
    <w:p>
      <w:pPr>
        <w:pStyle w:val="BodyText"/>
      </w:pPr>
      <w:r>
        <w:t xml:space="preserve">Retention Rate (6 Months)</w:t>
      </w:r>
    </w:p>
    <w:p>
      <w:pPr>
        <w:pStyle w:val="BodyText"/>
      </w:pPr>
      <w:r>
        <w:t xml:space="preserve">89%</w:t>
      </w:r>
    </w:p>
    <w:p>
      <w:pPr>
        <w:pStyle w:val="BodyText"/>
      </w:pPr>
      <w:r>
        <w:t xml:space="preserve">10%</w:t>
      </w:r>
      <w:r>
        <w:t xml:space="preserve"> </w:t>
      </w:r>
      <w:r>
        <w:t xml:space="preserve">65% (Industry)</w:t>
      </w:r>
    </w:p>
    <w:p>
      <w:pPr>
        <w:pStyle w:val="BodyText"/>
      </w:pPr>
      <w:r>
        <w:rPr>
          <w:bCs/>
          <w:b/>
        </w:rPr>
        <w:t xml:space="preserve">Auckland-Specific Success Drivers:</w:t>
      </w:r>
    </w:p>
    <w:p>
      <w:pPr>
        <w:numPr>
          <w:ilvl w:val="0"/>
          <w:numId w:val="1002"/>
        </w:numPr>
        <w:pStyle w:val="Compact"/>
      </w:pPr>
      <w:r>
        <w:rPr>
          <w:iCs/>
          <w:i/>
        </w:rPr>
        <w:t xml:space="preserve">Strategic School Partnerships:</w:t>
      </w:r>
      <w:r>
        <w:t xml:space="preserve"> </w:t>
      </w:r>
      <w:r>
        <w:t xml:space="preserve">Signed agreements with 18 Auckland secondary schools (including high-decile institutions like Mount Albert Grammar and low-decile schools in Manukau), accounting for 74% of placements.</w:t>
      </w:r>
    </w:p>
    <w:p>
      <w:pPr>
        <w:numPr>
          <w:ilvl w:val="0"/>
          <w:numId w:val="1002"/>
        </w:numPr>
        <w:pStyle w:val="Compact"/>
      </w:pPr>
      <w:r>
        <w:rPr>
          <w:iCs/>
          <w:i/>
        </w:rPr>
        <w:t xml:space="preserve">Cultural Alignment:</w:t>
      </w:r>
      <w:r>
        <w:t xml:space="preserve"> </w:t>
      </w:r>
      <w:r>
        <w:t xml:space="preserve">Our "Auckland Contextual Knowledge" assessment reduced mismatches in culturally responsive teaching by 63% compared to national averages.</w:t>
      </w:r>
    </w:p>
    <w:p>
      <w:pPr>
        <w:numPr>
          <w:ilvl w:val="0"/>
          <w:numId w:val="1002"/>
        </w:numPr>
        <w:pStyle w:val="Compact"/>
      </w:pPr>
      <w:r>
        <w:rPr>
          <w:iCs/>
          <w:i/>
        </w:rPr>
        <w:t xml:space="preserve">Technology Integration:</w:t>
      </w:r>
      <w:r>
        <w:t xml:space="preserve"> </w:t>
      </w:r>
      <w:r>
        <w:t xml:space="preserve">The Auckland-specific "Secondary Teacher Portal" (launched Q2 2023) cut onboarding time by 55%, directly addressing Auckland schools' urgent staffing needs during term breaks.</w:t>
      </w:r>
    </w:p>
    <w:bookmarkEnd w:id="23"/>
    <w:bookmarkStart w:id="24" w:name="X3007bddc2271d5f6ee1271241c774b744e947de"/>
    <w:p>
      <w:pPr>
        <w:pStyle w:val="Heading2"/>
      </w:pPr>
      <w:r>
        <w:t xml:space="preserve">Challenges &amp; Strategic Solutions for New Zealand's Auckland Market</w:t>
      </w:r>
    </w:p>
    <w:p>
      <w:pPr>
        <w:pStyle w:val="FirstParagraph"/>
      </w:pPr>
      <w:r>
        <w:t xml:space="preserve">Despite strong growth, two critical challenges emerged in the Auckland market:</w:t>
      </w:r>
    </w:p>
    <w:p>
      <w:pPr>
        <w:pStyle w:val="BodyText"/>
      </w:pPr>
      <w:r>
        <w:rPr>
          <w:bCs/>
          <w:b/>
        </w:rPr>
        <w:t xml:space="preserve">Challenge 1: Geography &amp; Accessibility</w:t>
      </w:r>
      <w:r>
        <w:br/>
      </w:r>
      <w:r>
        <w:t xml:space="preserve">We identified that teachers from rural parts of Aotearoa (e.g., Bay of Plenty) were reluctant to relocate to Auckland due to cost of living. Our solution was launching the "Auckland Secondary Teacher Housing Partnership" with local housing providers, offering discounted accommodation for new placements—resulting in a 33% increase in non-Auckland-based candidates accepting roles.</w:t>
      </w:r>
    </w:p>
    <w:p>
      <w:pPr>
        <w:pStyle w:val="BodyText"/>
      </w:pPr>
      <w:r>
        <w:rPr>
          <w:bCs/>
          <w:b/>
        </w:rPr>
        <w:t xml:space="preserve">Challenge 2: Specialist Subject Shortages</w:t>
      </w:r>
      <w:r>
        <w:br/>
      </w:r>
      <w:r>
        <w:t xml:space="preserve">STEM and Māori Language teaching vacancies remained critical. We addressed this by co-creating "Auckland Secondary Teacher Scholarships" with Auckland Council, providing NZ$15,000 stipends for teachers specializing in high-need subjects who commit to working in Auckland schools for 2 years.</w:t>
      </w:r>
    </w:p>
    <w:bookmarkEnd w:id="24"/>
    <w:bookmarkStart w:id="25" w:name="Xfdda05f2b683603b9d2b66c11a1a37529bada9f"/>
    <w:p>
      <w:pPr>
        <w:pStyle w:val="Heading2"/>
      </w:pPr>
      <w:r>
        <w:t xml:space="preserve">Future Outlook: Scaling Teacher Secondary Across New Zealand Auckland</w:t>
      </w:r>
    </w:p>
    <w:p>
      <w:pPr>
        <w:pStyle w:val="FirstParagraph"/>
      </w:pPr>
      <w:r>
        <w:t xml:space="preserve">Based on Q3 results, our strategy for expanding the "Teacher Secondary" service across New Zealand's Auckland region is threefold:</w:t>
      </w:r>
    </w:p>
    <w:p>
      <w:pPr>
        <w:numPr>
          <w:ilvl w:val="0"/>
          <w:numId w:val="1003"/>
        </w:numPr>
        <w:pStyle w:val="Compact"/>
      </w:pPr>
      <w:r>
        <w:rPr>
          <w:bCs/>
          <w:b/>
        </w:rPr>
        <w:t xml:space="preserve">Deepening Auckland Community Engagement:</w:t>
      </w:r>
      <w:r>
        <w:t xml:space="preserve"> </w:t>
      </w:r>
      <w:r>
        <w:t xml:space="preserve">Partnering with the Waitematā District Health Board to integrate wellbeing support into teacher placements—a critical factor for retention in high-pressure Auckland schools.</w:t>
      </w:r>
    </w:p>
    <w:p>
      <w:pPr>
        <w:numPr>
          <w:ilvl w:val="0"/>
          <w:numId w:val="1003"/>
        </w:numPr>
        <w:pStyle w:val="Compact"/>
      </w:pPr>
      <w:r>
        <w:rPr>
          <w:bCs/>
          <w:b/>
        </w:rPr>
        <w:t xml:space="preserve">National Expansion Blueprint:</w:t>
      </w:r>
      <w:r>
        <w:t xml:space="preserve"> </w:t>
      </w:r>
      <w:r>
        <w:t xml:space="preserve">Using Auckland's success as a model, we will replicate the "Teacher Secondary" framework nationally by Q2 2024, starting with Christchurch and Wellington.</w:t>
      </w:r>
    </w:p>
    <w:p>
      <w:pPr>
        <w:numPr>
          <w:ilvl w:val="0"/>
          <w:numId w:val="1003"/>
        </w:numPr>
        <w:pStyle w:val="Compact"/>
      </w:pPr>
      <w:r>
        <w:rPr>
          <w:bCs/>
          <w:b/>
        </w:rPr>
        <w:t xml:space="preserve">Technology Investment:</w:t>
      </w:r>
      <w:r>
        <w:t xml:space="preserve"> </w:t>
      </w:r>
      <w:r>
        <w:t xml:space="preserve">Launching an AI-powered matching tool in 2024 that analyzes Auckland school data (e.g., student ethnicity profiles, NCEA achievement gaps) to predict optimal teacher placements.</w:t>
      </w:r>
    </w:p>
    <w:bookmarkEnd w:id="25"/>
    <w:bookmarkStart w:id="26" w:name="X258374443d49b0553807bfbc2b0f56b9e3f7552"/>
    <w:p>
      <w:pPr>
        <w:pStyle w:val="Heading2"/>
      </w:pPr>
      <w:r>
        <w:t xml:space="preserve">Conclusion: The Imperative for Teacher Secondary in New Zealand's Auckland</w:t>
      </w:r>
    </w:p>
    <w:p>
      <w:pPr>
        <w:pStyle w:val="FirstParagraph"/>
      </w:pPr>
      <w:r>
        <w:t xml:space="preserve">The Q3 sales performance of our "Teacher Secondary" service unequivocally proves its necessity within New Zealand's Auckland educational landscape. As the city continues to grow as Aotearoa’s most diverse and populous urban center, schools cannot afford generic teacher recruitment solutions. Our data shows that Auckland secondary schools using "Teacher Secondary" report 32% higher student engagement in key subjects and 27% faster achievement of Māori student success targets compared to non-participating schools.</w:t>
      </w:r>
    </w:p>
    <w:p>
      <w:pPr>
        <w:pStyle w:val="BodyText"/>
      </w:pPr>
      <w:r>
        <w:t xml:space="preserve">For New Zealand stakeholders, this is not merely a sales success—it’s evidence that targeted, culturally grounded teacher development directly impacts educational equity. Our commitment to "Teacher Secondary" excellence in Auckland positions us as the indispensable partner for any school navigating the complexities of modern New Zealand secondary education. The data demands action: 87% of Auckland principals surveyed indicated they would prioritize our service for all future teaching vacancies in 2024.</w:t>
      </w:r>
    </w:p>
    <w:p>
      <w:pPr>
        <w:pStyle w:val="BodyText"/>
      </w:pPr>
      <w:r>
        <w:rPr>
          <w:bCs/>
          <w:b/>
        </w:rPr>
        <w:t xml:space="preserve">Prepared by:</w:t>
      </w:r>
      <w:r>
        <w:t xml:space="preserve"> </w:t>
      </w:r>
      <w:r>
        <w:t xml:space="preserve">Auckland Education Solutions</w:t>
      </w:r>
      <w:r>
        <w:br/>
      </w:r>
      <w:r>
        <w:rPr>
          <w:bCs/>
          <w:b/>
        </w:rPr>
        <w:t xml:space="preserve">Date:</w:t>
      </w:r>
      <w:r>
        <w:t xml:space="preserve"> </w:t>
      </w:r>
      <w:r>
        <w:t xml:space="preserve">October 26, 2023</w:t>
      </w:r>
      <w:r>
        <w:br/>
      </w:r>
      <w:r>
        <w:rPr>
          <w:bCs/>
          <w:b/>
        </w:rPr>
        <w:t xml:space="preserve">Report Scope:</w:t>
      </w:r>
      <w:r>
        <w:t xml:space="preserve"> </w:t>
      </w:r>
      <w:r>
        <w:t xml:space="preserve">New Zealand Auckland Secondary School Market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Sales Report: Auckland New Zealand Market</dc:title>
  <dc:creator/>
  <dc:language>en</dc:language>
  <cp:keywords/>
  <dcterms:created xsi:type="dcterms:W3CDTF">2025-12-11T15:48:24Z</dcterms:created>
  <dcterms:modified xsi:type="dcterms:W3CDTF">2025-12-11T15:48:24Z</dcterms:modified>
</cp:coreProperties>
</file>

<file path=docProps/custom.xml><?xml version="1.0" encoding="utf-8"?>
<Properties xmlns="http://schemas.openxmlformats.org/officeDocument/2006/custom-properties" xmlns:vt="http://schemas.openxmlformats.org/officeDocument/2006/docPropsVTypes"/>
</file>