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p>
    <w:bookmarkStart w:id="32" w:name="X0b6cec8130fb6c48817b72a0c7dee63d6e77b48"/>
    <w:p>
      <w:pPr>
        <w:pStyle w:val="Heading1"/>
      </w:pPr>
      <w:r>
        <w:t xml:space="preserve">Comprehensive Sales Report: Secondary Education Resources in New Zealand Wellington</w:t>
      </w:r>
    </w:p>
    <w:bookmarkStart w:id="31" w:name="X150c4a35e48fc46984d6312934a43432f917487"/>
    <w:p>
      <w:pPr>
        <w:pStyle w:val="Heading2"/>
      </w:pPr>
      <w:r>
        <w:t xml:space="preserve">Prepared for Educational Partners &amp; Stakeholders | Q3 2023 Quarterly Review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Education Sales Management, New Zealand</w:t>
      </w:r>
      <w:r>
        <w:br/>
      </w:r>
      <w:r>
        <w:rPr>
          <w:bCs/>
          <w:b/>
        </w:rPr>
        <w:t xml:space="preserve">Report Focus:</w:t>
      </w:r>
      <w:r>
        <w:t xml:space="preserve"> </w:t>
      </w:r>
      <w:r>
        <w:t xml:space="preserve">Teacher Secondary Resource Adoption in Wellington Metropolitan Area</w:t>
      </w:r>
    </w:p>
    <w:bookmarkStart w:id="20" w:name="i.-executive-summary"/>
    <w:p>
      <w:pPr>
        <w:pStyle w:val="Heading3"/>
      </w:pPr>
      <w:r>
        <w:t xml:space="preserve">I. Executive Summary</w:t>
      </w:r>
    </w:p>
    <w:p>
      <w:pPr>
        <w:pStyle w:val="FirstParagraph"/>
      </w:pPr>
      <w:r>
        <w:t xml:space="preserve">This Sales Report details the performance of educational resource distribution to secondary schools across Wellington, New Zealand. Our key metric – teacher adoption rates for digital and curriculum-aligned resources – has increased by 18% year-on-year, driven by strategic partnerships with the Ministry of Education and Wellington school clusters. Notably, Teacher Secondary engagement in our flagship "Digital Literacy Suite" reached 72% penetration in core subjects (Maths, Science, English), exceeding the national average by 14%. This growth positions us as a pivotal supplier for Wellington's secondary education ecosystem amid evolving curriculum demands.</w:t>
      </w:r>
    </w:p>
    <w:bookmarkEnd w:id="20"/>
    <w:bookmarkStart w:id="21" w:name="Xa170774c91ac8c5af3cb3d8d5327110a49d2a87"/>
    <w:p>
      <w:pPr>
        <w:pStyle w:val="Heading3"/>
      </w:pPr>
      <w:r>
        <w:t xml:space="preserve">II. Wellington Secondary Education Market Context</w:t>
      </w:r>
    </w:p>
    <w:p>
      <w:pPr>
        <w:pStyle w:val="FirstParagraph"/>
      </w:pPr>
      <w:r>
        <w:t xml:space="preserve">New Zealand Wellington presents a unique secondary market characterized by 48 state and integrated high schools, including 8 decile-10 institutions with significant socio-economic diversity. The region’s 2023 Ministry of Education performance data shows a critical need for resources addressing: (1) National Standards alignment for Year 9-13 students, (2) Teacher workload reduction initiatives, and (3) Digital pedagogy integration mandated by the</w:t>
      </w:r>
      <w:r>
        <w:t xml:space="preserve"> </w:t>
      </w:r>
      <w:r>
        <w:rPr>
          <w:iCs/>
          <w:i/>
        </w:rPr>
        <w:t xml:space="preserve">Teaching Council of Aotearoa New Zealand</w:t>
      </w:r>
      <w:r>
        <w:t xml:space="preserve">. With Wellington’s secondary student population growing at 2.3% annually (Statistics NZ), demand for efficient, standards-compliant resources has become non-negotiable for educators.</w:t>
      </w:r>
    </w:p>
    <w:bookmarkEnd w:id="21"/>
    <w:bookmarkStart w:id="24" w:name="X24b53b0be39819f9d97ef8f25833a95dfe62149"/>
    <w:p>
      <w:pPr>
        <w:pStyle w:val="Heading3"/>
      </w:pPr>
      <w:r>
        <w:t xml:space="preserve">III. Sales Performance: Teacher Secondary Focus Areas</w:t>
      </w:r>
    </w:p>
    <w:bookmarkStart w:id="22" w:name="a.-product-adoption-trends"/>
    <w:p>
      <w:pPr>
        <w:pStyle w:val="Heading4"/>
      </w:pPr>
      <w:r>
        <w:t xml:space="preserve">A. Product Adoption Trends</w:t>
      </w:r>
    </w:p>
    <w:p>
      <w:pPr>
        <w:pStyle w:val="FirstParagraph"/>
      </w:pPr>
      <w:r>
        <w:t xml:space="preserve">Resource Category</w:t>
      </w:r>
    </w:p>
    <w:p>
      <w:pPr>
        <w:pStyle w:val="BodyText"/>
      </w:pPr>
      <w:r>
        <w:t xml:space="preserve">2022 Adoption (%)</w:t>
      </w:r>
    </w:p>
    <w:p>
      <w:pPr>
        <w:pStyle w:val="BodyText"/>
      </w:pPr>
      <w:r>
        <w:t xml:space="preserve">2023 Q3 Adoption (%)</w:t>
      </w:r>
    </w:p>
    <w:p>
      <w:pPr>
        <w:pStyle w:val="BodyText"/>
      </w:pPr>
      <w:r>
        <w:t xml:space="preserve">% Change</w:t>
      </w:r>
    </w:p>
    <w:p>
      <w:pPr>
        <w:pStyle w:val="BodyText"/>
      </w:pPr>
      <w:r>
        <w:t xml:space="preserve">Digital Textbooks (NCEA-aligned)</w:t>
      </w:r>
    </w:p>
    <w:p>
      <w:pPr>
        <w:pStyle w:val="BodyText"/>
      </w:pPr>
      <w:r>
        <w:t xml:space="preserve">48%</w:t>
      </w:r>
    </w:p>
    <w:p>
      <w:pPr>
        <w:pStyle w:val="BodyText"/>
      </w:pPr>
      <w:r>
        <w:t xml:space="preserve">67%</w:t>
      </w:r>
    </w:p>
    <w:p>
      <w:pPr>
        <w:pStyle w:val="BodyText"/>
      </w:pPr>
      <w:r>
        <w:t xml:space="preserve">+19pp</w:t>
      </w:r>
    </w:p>
    <w:p>
      <w:pPr>
        <w:pStyle w:val="BodyText"/>
      </w:pPr>
      <w:r>
        <w:t xml:space="preserve">Classroom Tech Kits (Interactive Whiteboards)</w:t>
      </w:r>
    </w:p>
    <w:p>
      <w:pPr>
        <w:pStyle w:val="BodyText"/>
      </w:pPr>
      <w:r>
        <w:t xml:space="preserve">32%</w:t>
      </w:r>
    </w:p>
    <w:p>
      <w:pPr>
        <w:pStyle w:val="BodyText"/>
      </w:pPr>
      <w:r>
        <w:t xml:space="preserve">&lt;</w:t>
      </w:r>
    </w:p>
    <w:p>
      <w:pPr>
        <w:pStyle w:val="BodyText"/>
      </w:pPr>
      <w:r>
        <w:t xml:space="preserve">53%</w:t>
      </w:r>
    </w:p>
    <w:p>
      <w:pPr>
        <w:pStyle w:val="BodyText"/>
      </w:pPr>
      <w:r>
        <w:t xml:space="preserve">+21pp</w:t>
      </w:r>
    </w:p>
    <w:p>
      <w:pPr>
        <w:pStyle w:val="BodyText"/>
      </w:pPr>
      <w:r>
        <w:t xml:space="preserve">Social-Emotional Learning Modules</w:t>
      </w:r>
    </w:p>
    <w:p>
      <w:pPr>
        <w:pStyle w:val="BodyText"/>
      </w:pPr>
      <w:r>
        <w:t xml:space="preserve">&lt;</w:t>
      </w:r>
    </w:p>
    <w:p>
      <w:pPr>
        <w:pStyle w:val="BodyText"/>
      </w:pPr>
      <w:r>
        <w:t xml:space="preserve">25%</w:t>
      </w:r>
    </w:p>
    <w:p>
      <w:pPr>
        <w:pStyle w:val="BodyText"/>
      </w:pPr>
      <w:r>
        <w:t xml:space="preserve">49%</w:t>
      </w:r>
    </w:p>
    <w:p>
      <w:pPr>
        <w:pStyle w:val="BodyText"/>
      </w:pPr>
      <w:r>
        <w:t xml:space="preserve">+24pp</w:t>
      </w:r>
    </w:p>
    <w:p>
      <w:pPr>
        <w:pStyle w:val="BodyText"/>
      </w:pPr>
      <w:r>
        <w:t xml:space="preserve">Teacher Professional Development Workshops</w:t>
      </w:r>
    </w:p>
    <w:p>
      <w:pPr>
        <w:pStyle w:val="BodyText"/>
      </w:pPr>
      <w:r>
        <w:t xml:space="preserve">37%</w:t>
      </w:r>
    </w:p>
    <w:p>
      <w:pPr>
        <w:pStyle w:val="BodyText"/>
      </w:pPr>
      <w:r>
        <w:t xml:space="preserve">61%</w:t>
      </w:r>
    </w:p>
    <w:p>
      <w:pPr>
        <w:pStyle w:val="BodyText"/>
      </w:pPr>
      <w:r>
        <w:t xml:space="preserve">The surge in digital textbook adoption directly correlates with the Wellington Region's 2023 curriculum reform focusing on "flexible learning pathways." Teacher Secondary feedback consistently cites our resource bundles as critical for managing reduced planning time – a key pain point identified in the</w:t>
      </w:r>
      <w:r>
        <w:t xml:space="preserve"> </w:t>
      </w:r>
      <w:r>
        <w:rPr>
          <w:iCs/>
          <w:i/>
        </w:rPr>
        <w:t xml:space="preserve">Wellington Education Leaders’ Survey 2023</w:t>
      </w:r>
      <w:r>
        <w:t xml:space="preserve">.</w:t>
      </w:r>
    </w:p>
    <w:bookmarkEnd w:id="22"/>
    <w:bookmarkStart w:id="23" w:name="X7ead237ac29e8871387a63a53156063b6fd6db2"/>
    <w:p>
      <w:pPr>
        <w:pStyle w:val="Heading4"/>
      </w:pPr>
      <w:r>
        <w:t xml:space="preserve">B. Key Account Performance (Top 10 Schools)</w:t>
      </w:r>
    </w:p>
    <w:p>
      <w:pPr>
        <w:numPr>
          <w:ilvl w:val="0"/>
          <w:numId w:val="1001"/>
        </w:numPr>
        <w:pStyle w:val="Compact"/>
      </w:pPr>
      <w:r>
        <w:rPr>
          <w:bCs/>
          <w:b/>
        </w:rPr>
        <w:t xml:space="preserve">Wellington High School:</w:t>
      </w:r>
      <w:r>
        <w:t xml:space="preserve"> </w:t>
      </w:r>
      <w:r>
        <w:t xml:space="preserve">98% resource utilization rate; implemented our "NCEA Success Pathways" for Year 12 Science – resulting in a 12-point average improvement in internal assessments.</w:t>
      </w:r>
    </w:p>
    <w:p>
      <w:pPr>
        <w:numPr>
          <w:ilvl w:val="0"/>
          <w:numId w:val="1001"/>
        </w:numPr>
        <w:pStyle w:val="Compact"/>
      </w:pPr>
      <w:r>
        <w:rPr>
          <w:bCs/>
          <w:b/>
        </w:rPr>
        <w:t xml:space="preserve">Kāpiti College (Wellington Region):</w:t>
      </w:r>
      <w:r>
        <w:t xml:space="preserve"> </w:t>
      </w:r>
      <w:r>
        <w:t xml:space="preserve">Adopted all Digital Literacy Suite resources; Teacher Secondary satisfaction score of 4.7/5 for resource relevance to local curriculum.</w:t>
      </w:r>
    </w:p>
    <w:p>
      <w:pPr>
        <w:numPr>
          <w:ilvl w:val="0"/>
          <w:numId w:val="1001"/>
        </w:numPr>
        <w:pStyle w:val="Compact"/>
      </w:pPr>
      <w:r>
        <w:rPr>
          <w:bCs/>
          <w:b/>
        </w:rPr>
        <w:t xml:space="preserve">Tawa College:</w:t>
      </w:r>
      <w:r>
        <w:t xml:space="preserve"> </w:t>
      </w:r>
      <w:r>
        <w:t xml:space="preserve">Increased tech kit adoption by 200% after our tailored workshop on integrating AR tools into geography lessons – directly addressing Wellington’s geography-specific curriculum requirements.</w:t>
      </w:r>
    </w:p>
    <w:bookmarkEnd w:id="23"/>
    <w:bookmarkEnd w:id="24"/>
    <w:bookmarkStart w:id="25" w:name="X12536644fbdc7c7ad172d1fb89888332906d19c"/>
    <w:p>
      <w:pPr>
        <w:pStyle w:val="Heading3"/>
      </w:pPr>
      <w:r>
        <w:t xml:space="preserve">IV. Teacher Secondary Engagement Analysis</w:t>
      </w:r>
    </w:p>
    <w:p>
      <w:pPr>
        <w:pStyle w:val="FirstParagraph"/>
      </w:pPr>
      <w:r>
        <w:t xml:space="preserve">Our most significant insight: Teachers in Wellington are prioritizing resources that demonstrate clear linkages to the</w:t>
      </w:r>
      <w:r>
        <w:t xml:space="preserve"> </w:t>
      </w:r>
      <w:r>
        <w:rPr>
          <w:iCs/>
          <w:i/>
        </w:rPr>
        <w:t xml:space="preserve">New Zealand Curriculum (NZC)</w:t>
      </w:r>
      <w:r>
        <w:t xml:space="preserve"> </w:t>
      </w:r>
      <w:r>
        <w:t xml:space="preserve">and local context. For example:</w:t>
      </w:r>
    </w:p>
    <w:p>
      <w:pPr>
        <w:numPr>
          <w:ilvl w:val="0"/>
          <w:numId w:val="1002"/>
        </w:numPr>
        <w:pStyle w:val="Compact"/>
      </w:pPr>
      <w:r>
        <w:rPr>
          <w:bCs/>
          <w:b/>
        </w:rPr>
        <w:t xml:space="preserve">National Standards Alignment:</w:t>
      </w:r>
      <w:r>
        <w:t xml:space="preserve"> </w:t>
      </w:r>
      <w:r>
        <w:t xml:space="preserve">89% of surveyed teachers stated resource adherence to NZC was their top purchasing criterion (vs. 67% nationally).</w:t>
      </w:r>
    </w:p>
    <w:p>
      <w:pPr>
        <w:numPr>
          <w:ilvl w:val="0"/>
          <w:numId w:val="1002"/>
        </w:numPr>
        <w:pStyle w:val="Compact"/>
      </w:pPr>
      <w:r>
        <w:rPr>
          <w:bCs/>
          <w:b/>
        </w:rPr>
        <w:t xml:space="preserve">Wellington-Specific Content:</w:t>
      </w:r>
      <w:r>
        <w:t xml:space="preserve"> </w:t>
      </w:r>
      <w:r>
        <w:t xml:space="preserve">Resources incorporating local case studies (e.g., "Te Matatini: Wellington’s Urban Ecology") saw 3x higher adoption than generic alternatives.</w:t>
      </w:r>
    </w:p>
    <w:p>
      <w:pPr>
        <w:numPr>
          <w:ilvl w:val="0"/>
          <w:numId w:val="1002"/>
        </w:numPr>
        <w:pStyle w:val="Compact"/>
      </w:pPr>
      <w:r>
        <w:rPr>
          <w:bCs/>
          <w:b/>
        </w:rPr>
        <w:t xml:space="preserve">Time Efficiency:</w:t>
      </w:r>
      <w:r>
        <w:t xml:space="preserve"> </w:t>
      </w:r>
      <w:r>
        <w:t xml:space="preserve">81% of Teacher Secondary respondents reported that our digital resources reduced weekly planning hours by 2-3 hours – a critical factor in retaining staff amid national teacher shortages.</w:t>
      </w:r>
    </w:p>
    <w:bookmarkEnd w:id="25"/>
    <w:bookmarkStart w:id="26" w:name="v.-challenges-in-the-wellington-market"/>
    <w:p>
      <w:pPr>
        <w:pStyle w:val="Heading3"/>
      </w:pPr>
      <w:r>
        <w:t xml:space="preserve">V. Challenges in the Wellington Market</w:t>
      </w:r>
    </w:p>
    <w:p>
      <w:pPr>
        <w:pStyle w:val="FirstParagraph"/>
      </w:pPr>
      <w:r>
        <w:t xml:space="preserve">Despite strong growth, three challenges require strategic response:</w:t>
      </w:r>
    </w:p>
    <w:p>
      <w:pPr>
        <w:numPr>
          <w:ilvl w:val="0"/>
          <w:numId w:val="1003"/>
        </w:numPr>
        <w:pStyle w:val="Compact"/>
      </w:pPr>
      <w:r>
        <w:rPr>
          <w:bCs/>
          <w:b/>
        </w:rPr>
        <w:t xml:space="preserve">Resource Fragmentation:</w:t>
      </w:r>
      <w:r>
        <w:t xml:space="preserve"> </w:t>
      </w:r>
      <w:r>
        <w:t xml:space="preserve">Multiple school clusters operate independently, creating inconsistent procurement cycles. We’re addressing this via the "Wellington Secondary Alliance" – a unified buying group with 12 participating schools.</w:t>
      </w:r>
    </w:p>
    <w:p>
      <w:pPr>
        <w:numPr>
          <w:ilvl w:val="0"/>
          <w:numId w:val="1003"/>
        </w:numPr>
        <w:pStyle w:val="Compact"/>
      </w:pPr>
      <w:r>
        <w:rPr>
          <w:bCs/>
          <w:b/>
        </w:rPr>
        <w:t xml:space="preserve">Technology Access Disparities:</w:t>
      </w:r>
      <w:r>
        <w:t xml:space="preserve"> </w:t>
      </w:r>
      <w:r>
        <w:t xml:space="preserve">Decile-3 schools reported slower digital adoption due to infrastructure gaps. Our solution:</w:t>
      </w:r>
      <w:r>
        <w:t xml:space="preserve"> </w:t>
      </w:r>
      <w:r>
        <w:rPr>
          <w:iCs/>
          <w:i/>
        </w:rPr>
        <w:t xml:space="preserve">"Tech Equity Kits"</w:t>
      </w:r>
      <w:r>
        <w:t xml:space="preserve"> </w:t>
      </w:r>
      <w:r>
        <w:t xml:space="preserve">(subsidized devices + offline access) deployed in 7 low-decile Wellington schools this quarter.</w:t>
      </w:r>
    </w:p>
    <w:p>
      <w:pPr>
        <w:numPr>
          <w:ilvl w:val="0"/>
          <w:numId w:val="1003"/>
        </w:numPr>
        <w:pStyle w:val="Compact"/>
      </w:pPr>
      <w:r>
        <w:rPr>
          <w:bCs/>
          <w:b/>
        </w:rPr>
        <w:t xml:space="preserve">Curriculum Overhaul Pressure:</w:t>
      </w:r>
      <w:r>
        <w:t xml:space="preserve"> </w:t>
      </w:r>
      <w:r>
        <w:t xml:space="preserve">The impending 2025 "Learning Progressions" update requires rapid resource updates. We’ve allocated 40% of R&amp;D funding to Wellington-specific curriculum mapping.</w:t>
      </w:r>
    </w:p>
    <w:bookmarkEnd w:id="26"/>
    <w:bookmarkStart w:id="27" w:name="Xd499f39231934004a52a12b01dad814dc25aeed"/>
    <w:p>
      <w:pPr>
        <w:pStyle w:val="Heading3"/>
      </w:pPr>
      <w:r>
        <w:t xml:space="preserve">VI. Strategic Initiatives Driving Results</w:t>
      </w:r>
    </w:p>
    <w:p>
      <w:pPr>
        <w:pStyle w:val="FirstParagraph"/>
      </w:pPr>
      <w:r>
        <w:rPr>
          <w:bCs/>
          <w:b/>
        </w:rPr>
        <w:t xml:space="preserve">1. Wellington Curriculum Co-Creation:</w:t>
      </w:r>
      <w:r>
        <w:t xml:space="preserve"> </w:t>
      </w:r>
      <w:r>
        <w:t xml:space="preserve">Partnering with the</w:t>
      </w:r>
      <w:r>
        <w:t xml:space="preserve"> </w:t>
      </w:r>
      <w:r>
        <w:rPr>
          <w:iCs/>
          <w:i/>
        </w:rPr>
        <w:t xml:space="preserve">Wellington Education Centre (WEC)</w:t>
      </w:r>
      <w:r>
        <w:t xml:space="preserve">, we’ve established a Teacher Secondary Advisory Panel that shapes 70% of our new product development – directly resulting in higher adoption rates.</w:t>
      </w:r>
    </w:p>
    <w:p>
      <w:pPr>
        <w:pStyle w:val="BodyText"/>
      </w:pPr>
      <w:r>
        <w:rPr>
          <w:bCs/>
          <w:b/>
        </w:rPr>
        <w:t xml:space="preserve">2. Digital Hub Integration:</w:t>
      </w:r>
      <w:r>
        <w:t xml:space="preserve"> </w:t>
      </w:r>
      <w:r>
        <w:t xml:space="preserve">Our platform now syncs with Wellington’s</w:t>
      </w:r>
      <w:r>
        <w:t xml:space="preserve"> </w:t>
      </w:r>
      <w:r>
        <w:rPr>
          <w:iCs/>
          <w:i/>
        </w:rPr>
        <w:t xml:space="preserve">National Education Platform (NEP)</w:t>
      </w:r>
      <w:r>
        <w:t xml:space="preserve">, allowing teachers to access resources within their existing workflow. This eliminated 3-step login barriers, increasing usage by 31% in Q3.</w:t>
      </w:r>
    </w:p>
    <w:p>
      <w:pPr>
        <w:pStyle w:val="BodyText"/>
      </w:pPr>
      <w:r>
        <w:rPr>
          <w:bCs/>
          <w:b/>
        </w:rPr>
        <w:t xml:space="preserve">3. Localized Professional Development:</w:t>
      </w:r>
      <w:r>
        <w:t xml:space="preserve"> </w:t>
      </w:r>
      <w:r>
        <w:t xml:space="preserve">"Wellington Teacher Tech Circles" – monthly workshops hosted at schools (e.g., Kelburn Normal Intermediate) – have boosted resource confidence among secondary staff. Attendance grew by 56% this year.</w:t>
      </w:r>
    </w:p>
    <w:bookmarkEnd w:id="27"/>
    <w:bookmarkStart w:id="28" w:name="X29453d068871cbaf76751ee043ebb8bc9f99609"/>
    <w:p>
      <w:pPr>
        <w:pStyle w:val="Heading3"/>
      </w:pPr>
      <w:r>
        <w:t xml:space="preserve">VII. Future Outlook &amp; Recommendations for New Zealand Wellington</w:t>
      </w:r>
    </w:p>
    <w:p>
      <w:pPr>
        <w:pStyle w:val="FirstParagraph"/>
      </w:pPr>
      <w:r>
        <w:t xml:space="preserve">Based on Q3 data, we project a 22% revenue increase in Wellington Teacher Secondary sales by Q1 2024. To capitalize on this:</w:t>
      </w:r>
    </w:p>
    <w:p>
      <w:pPr>
        <w:numPr>
          <w:ilvl w:val="0"/>
          <w:numId w:val="1004"/>
        </w:numPr>
        <w:pStyle w:val="Compact"/>
      </w:pPr>
      <w:r>
        <w:rPr>
          <w:bCs/>
          <w:b/>
        </w:rPr>
        <w:t xml:space="preserve">Expand Equity Programs:</w:t>
      </w:r>
      <w:r>
        <w:t xml:space="preserve"> </w:t>
      </w:r>
      <w:r>
        <w:t xml:space="preserve">Allocate $85,000 to fund "Digital Hubs" at 5 additional decile-1 schools by Q2 2024.</w:t>
      </w:r>
    </w:p>
    <w:p>
      <w:pPr>
        <w:numPr>
          <w:ilvl w:val="0"/>
          <w:numId w:val="1004"/>
        </w:numPr>
        <w:pStyle w:val="Compact"/>
      </w:pPr>
      <w:r>
        <w:rPr>
          <w:bCs/>
          <w:b/>
        </w:rPr>
        <w:t xml:space="preserve">Prioritize Wellington-Specific Content:</w:t>
      </w:r>
      <w:r>
        <w:t xml:space="preserve"> </w:t>
      </w:r>
      <w:r>
        <w:t xml:space="preserve">Develop a "Wellington Geography Resource Pack" using local ecosystems (e.g., Hutt River, Te Papa exhibits) to address regional curriculum needs.</w:t>
      </w:r>
    </w:p>
    <w:p>
      <w:pPr>
        <w:numPr>
          <w:ilvl w:val="0"/>
          <w:numId w:val="1004"/>
        </w:numPr>
        <w:pStyle w:val="Compact"/>
      </w:pPr>
      <w:r>
        <w:rPr>
          <w:bCs/>
          <w:b/>
        </w:rPr>
        <w:t xml:space="preserve">Strengthen Ministry Partnerships:</w:t>
      </w:r>
      <w:r>
        <w:t xml:space="preserve"> </w:t>
      </w:r>
      <w:r>
        <w:t xml:space="preserve">Target official endorsement for our resources through the</w:t>
      </w:r>
      <w:r>
        <w:t xml:space="preserve"> </w:t>
      </w:r>
      <w:r>
        <w:rPr>
          <w:iCs/>
          <w:i/>
        </w:rPr>
        <w:t xml:space="preserve">Te Whāriki Framework</w:t>
      </w:r>
      <w:r>
        <w:t xml:space="preserve">, as requested by the Wellington Regional Education Office.</w:t>
      </w:r>
    </w:p>
    <w:bookmarkEnd w:id="28"/>
    <w:bookmarkStart w:id="30" w:name="viii.-conclusion"/>
    <w:p>
      <w:pPr>
        <w:pStyle w:val="Heading3"/>
      </w:pPr>
      <w:r>
        <w:t xml:space="preserve">VIII. Conclusion</w:t>
      </w:r>
    </w:p>
    <w:p>
      <w:pPr>
        <w:pStyle w:val="FirstParagraph"/>
      </w:pPr>
      <w:r>
        <w:t xml:space="preserve">The New Zealand Wellington secondary education market demands agile, curriculum-integrated solutions – and our Sales Report confirms that Teacher Secondary educators are actively seeking partners who understand their unique context. By embedding ourselves within the region’s pedagogical frameworks (e.g., Māori learner-centred approaches in Wellington schools) and addressing critical workload challenges, we’ve positioned ourselves as an indispensable resource provider. Our Q3 performance underscores that when sales strategies prioritize</w:t>
      </w:r>
      <w:r>
        <w:t xml:space="preserve"> </w:t>
      </w:r>
      <w:r>
        <w:rPr>
          <w:iCs/>
          <w:i/>
        </w:rPr>
        <w:t xml:space="preserve">Teacher Secondary</w:t>
      </w:r>
      <w:r>
        <w:t xml:space="preserve"> </w:t>
      </w:r>
      <w:r>
        <w:t xml:space="preserve">needs over generic offerings – specifically through Wellington-centric content, seamless integration, and equity-focused initiatives – sustainable growth becomes achievable. As the Ministry of Education continues its focus on "Learning from Home" resilience in Wellington schools, our commitment to evolving resource solutions will remain central to our success.</w:t>
      </w:r>
    </w:p>
    <w:p>
      <w:pPr>
        <w:pStyle w:val="BodyText"/>
      </w:pPr>
      <w:r>
        <w:rPr>
          <w:bCs/>
          <w:b/>
        </w:rPr>
        <w:t xml:space="preserve">Prepared by:</w:t>
      </w:r>
      <w:r>
        <w:t xml:space="preserve"> </w:t>
      </w:r>
      <w:r>
        <w:t xml:space="preserve">Regional Sales Strategy Team | New Zealand Wellington</w:t>
      </w:r>
      <w:r>
        <w:br/>
      </w:r>
      <w:r>
        <w:rPr>
          <w:bCs/>
          <w:b/>
        </w:rPr>
        <w:t xml:space="preserve">Contact:</w:t>
      </w:r>
      <w:r>
        <w:t xml:space="preserve"> </w:t>
      </w:r>
      <w:r>
        <w:t xml:space="preserve">sales.wellington@educationalresources.nz</w:t>
      </w:r>
    </w:p>
    <w:bookmarkStart w:id="29" w:name="X3a0fdb75e04ee85226401b8c446168b0632d7f2"/>
    <w:p>
      <w:pPr>
        <w:pStyle w:val="Heading4"/>
      </w:pPr>
      <w:r>
        <w:rPr>
          <w:iCs/>
          <w:i/>
        </w:rPr>
        <w:t xml:space="preserve">"Empowering Teachers. Elevating Education. Wellington, New Zealand." - Our Commitment to Secondary Excellence</w:t>
      </w:r>
    </w:p>
    <w:bookmarkEnd w:id="29"/>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New Zealand Wellington</dc:title>
  <dc:creator/>
  <dc:language>en</dc:language>
  <cp:keywords/>
  <dcterms:created xsi:type="dcterms:W3CDTF">2025-12-12T02:51:17Z</dcterms:created>
  <dcterms:modified xsi:type="dcterms:W3CDTF">2025-12-12T02:51:17Z</dcterms:modified>
</cp:coreProperties>
</file>

<file path=docProps/custom.xml><?xml version="1.0" encoding="utf-8"?>
<Properties xmlns="http://schemas.openxmlformats.org/officeDocument/2006/custom-properties" xmlns:vt="http://schemas.openxmlformats.org/officeDocument/2006/docPropsVTypes"/>
</file>