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Products</w:t>
      </w:r>
      <w:r>
        <w:t xml:space="preserve"> </w:t>
      </w:r>
      <w:r>
        <w:t xml:space="preserve">&amp;</w:t>
      </w:r>
      <w:r>
        <w:t xml:space="preserve"> </w:t>
      </w:r>
      <w:r>
        <w:t xml:space="preserve">Services</w:t>
      </w:r>
      <w:r>
        <w:t xml:space="preserve"> </w:t>
      </w:r>
      <w:r>
        <w:t xml:space="preserve">-</w:t>
      </w:r>
      <w:r>
        <w:t xml:space="preserve"> </w:t>
      </w:r>
      <w:r>
        <w:t xml:space="preserve">Peru</w:t>
      </w:r>
      <w:r>
        <w:t xml:space="preserve"> </w:t>
      </w:r>
      <w:r>
        <w:t xml:space="preserve">Lima</w:t>
      </w:r>
    </w:p>
    <w:bookmarkStart w:id="30" w:name="X67f3985a204d6f725a287b4b1f105ff9bbfaad0"/>
    <w:p>
      <w:pPr>
        <w:pStyle w:val="Heading1"/>
      </w:pPr>
      <w:r>
        <w:t xml:space="preserve">Comprehensive Sales Report: Teacher Secondary Educational Solutions in Peru Lima (Q3 2023)</w:t>
      </w:r>
    </w:p>
    <w:bookmarkStart w:id="20" w:name="executive-summary"/>
    <w:p>
      <w:pPr>
        <w:pStyle w:val="Heading2"/>
      </w:pPr>
      <w:r>
        <w:t xml:space="preserve">Executive Summary</w:t>
      </w:r>
    </w:p>
    <w:p>
      <w:pPr>
        <w:pStyle w:val="FirstParagraph"/>
      </w:pPr>
      <w:r>
        <w:t xml:space="preserve">This Sales Report details the performance of our Teacher Secondary educational product portfolio across Peru Lima during the third quarter of 2023. With Lima representing 78% of our national secondary education market, this region remains critical to our strategic growth. Our sales team achieved a remarkable 15% quarterly growth in Teacher Secondary product subscriptions, reaching $485,000 USD in revenue – exceeding targets by 9%. This success stems from targeted solutions addressing the unique pedagogical challenges faced by secondary educators across Lima's public and private institutions. The report analyzes key performance indicators, regional market dynamics, and actionable insights to sustain momentum for our Teacher Secondary offering in Peru Lima.</w:t>
      </w:r>
    </w:p>
    <w:bookmarkEnd w:id="20"/>
    <w:bookmarkStart w:id="21" w:name="Xb1a25719109b2f856423141335c85172a4b5e94"/>
    <w:p>
      <w:pPr>
        <w:pStyle w:val="Heading2"/>
      </w:pPr>
      <w:r>
        <w:t xml:space="preserve">Market Context: Peru Lima Secondary Education Landscape</w:t>
      </w:r>
    </w:p>
    <w:p>
      <w:pPr>
        <w:pStyle w:val="FirstParagraph"/>
      </w:pPr>
      <w:r>
        <w:t xml:space="preserve">Lima's secondary education sector (ages 12-18) serves over 350,000 students across 978 institutions – the highest concentration in Peru. However, teachers face systemic challenges: inadequate teaching materials (64% of schools report shortages), limited digital literacy training (only 28% receive annual professional development), and increasing class sizes (average 42 students per classroom). Our Teacher Secondary product suite directly addresses these pain points through customizable digital lesson plans, interactive STEM modules, and monthly pedagogy workshops. This alignment has positioned our solutions as indispensable for Lima educators navigating Peru's national curriculum reforms (Law 31089) demanding higher student engagement metrics.</w:t>
      </w:r>
    </w:p>
    <w:bookmarkEnd w:id="21"/>
    <w:bookmarkStart w:id="24" w:name="q3-sales-performance-analysis"/>
    <w:p>
      <w:pPr>
        <w:pStyle w:val="Heading2"/>
      </w:pPr>
      <w:r>
        <w:t xml:space="preserve">Q3 Sales Performance Analysis</w:t>
      </w:r>
    </w:p>
    <w:bookmarkStart w:id="22" w:name="product-category-breakdown"/>
    <w:p>
      <w:pPr>
        <w:pStyle w:val="Heading3"/>
      </w:pPr>
      <w:r>
        <w:t xml:space="preserve">Product Category Breakdown</w:t>
      </w:r>
    </w:p>
    <w:p>
      <w:pPr>
        <w:pStyle w:val="FirstParagraph"/>
      </w:pPr>
      <w:r>
        <w:t xml:space="preserve">Product Line</w:t>
      </w:r>
    </w:p>
    <w:p>
      <w:pPr>
        <w:pStyle w:val="BodyText"/>
      </w:pPr>
      <w:r>
        <w:t xml:space="preserve">Q2 Revenue (USD)</w:t>
      </w:r>
    </w:p>
    <w:p>
      <w:pPr>
        <w:pStyle w:val="BodyText"/>
      </w:pPr>
      <w:r>
        <w:t xml:space="preserve">Q3 Revenue (USD)</w:t>
      </w:r>
    </w:p>
    <w:p>
      <w:pPr>
        <w:pStyle w:val="BodyText"/>
      </w:pPr>
      <w:r>
        <w:t xml:space="preserve">% Growth</w:t>
      </w:r>
    </w:p>
    <w:p>
      <w:pPr>
        <w:pStyle w:val="BodyText"/>
      </w:pPr>
      <w:r>
        <w:t xml:space="preserve">Key Lima Institutions Adopted</w:t>
      </w:r>
    </w:p>
    <w:p>
      <w:pPr>
        <w:pStyle w:val="BodyText"/>
      </w:pPr>
      <w:r>
        <w:t xml:space="preserve">Digital Lesson Plans (Teacher Secondary Core)</w:t>
      </w:r>
    </w:p>
    <w:p>
      <w:pPr>
        <w:pStyle w:val="BodyText"/>
      </w:pPr>
      <w:r>
        <w:t xml:space="preserve">$125,000</w:t>
      </w:r>
    </w:p>
    <w:p>
      <w:pPr>
        <w:pStyle w:val="BodyText"/>
      </w:pPr>
      <w:r>
        <w:t xml:space="preserve">$185,000</w:t>
      </w:r>
    </w:p>
    <w:p>
      <w:pPr>
        <w:pStyle w:val="BodyText"/>
      </w:pPr>
      <w:r>
        <w:t xml:space="preserve">48%</w:t>
      </w:r>
    </w:p>
    <w:p>
      <w:pPr>
        <w:pStyle w:val="BodyText"/>
      </w:pPr>
      <w:r>
        <w:t xml:space="preserve">23 public high schools (Lima Metropolitana)</w:t>
      </w:r>
    </w:p>
    <w:p>
      <w:pPr>
        <w:pStyle w:val="BodyText"/>
      </w:pPr>
      <w:r>
        <w:t xml:space="preserve">STEM Lab Kits &amp; Digital Tools</w:t>
      </w:r>
    </w:p>
    <w:p>
      <w:pPr>
        <w:pStyle w:val="BodyText"/>
      </w:pPr>
      <w:r>
        <w:t xml:space="preserve">$72,500</w:t>
      </w:r>
    </w:p>
    <w:p>
      <w:pPr>
        <w:pStyle w:val="BodyText"/>
      </w:pPr>
      <w:r>
        <w:t xml:space="preserve">$98,650</w:t>
      </w:r>
    </w:p>
    <w:p>
      <w:pPr>
        <w:pStyle w:val="BodyText"/>
      </w:pPr>
      <w:r>
        <w:t xml:space="preserve">Pedagogy Workshops (Monthly for Teacher Secondary)</w:t>
      </w:r>
    </w:p>
    <w:p>
      <w:pPr>
        <w:pStyle w:val="BodyText"/>
      </w:pPr>
      <w:r>
        <w:br/>
      </w:r>
    </w:p>
    <w:bookmarkEnd w:id="22"/>
    <w:bookmarkStart w:id="23" w:name="X65f5b935b293377bfcb2d65c22a96c3d61c84bf"/>
    <w:p>
      <w:pPr>
        <w:pStyle w:val="Heading3"/>
      </w:pPr>
      <w:r>
        <w:t xml:space="preserve">Regional Sales Distribution (Lima Metropolitana)</w:t>
      </w:r>
    </w:p>
    <w:p>
      <w:pPr>
        <w:pStyle w:val="FirstParagraph"/>
      </w:pPr>
      <w:r>
        <w:t xml:space="preserve">Lima's 42 districts show distinct adoption patterns. The highest growth occurred in:</w:t>
      </w:r>
    </w:p>
    <w:p>
      <w:pPr>
        <w:numPr>
          <w:ilvl w:val="0"/>
          <w:numId w:val="1001"/>
        </w:numPr>
        <w:pStyle w:val="Compact"/>
      </w:pPr>
      <w:r>
        <w:rPr>
          <w:bCs/>
          <w:b/>
        </w:rPr>
        <w:t xml:space="preserve">Surco &amp; San Isidro</w:t>
      </w:r>
      <w:r>
        <w:t xml:space="preserve">: +28% (Private schools prioritizing digital transition)</w:t>
      </w:r>
    </w:p>
    <w:p>
      <w:pPr>
        <w:numPr>
          <w:ilvl w:val="0"/>
          <w:numId w:val="1001"/>
        </w:numPr>
        <w:pStyle w:val="Compact"/>
      </w:pPr>
      <w:r>
        <w:rPr>
          <w:bCs/>
          <w:b/>
        </w:rPr>
        <w:t xml:space="preserve">Miraflores &amp; Barranco</w:t>
      </w:r>
      <w:r>
        <w:t xml:space="preserve">: +19% (Public schools implementing government-funded digital programs)</w:t>
      </w:r>
    </w:p>
    <w:p>
      <w:pPr>
        <w:numPr>
          <w:ilvl w:val="0"/>
          <w:numId w:val="1001"/>
        </w:numPr>
        <w:pStyle w:val="Compact"/>
      </w:pPr>
      <w:r>
        <w:rPr>
          <w:bCs/>
          <w:b/>
        </w:rPr>
        <w:t xml:space="preserve">Rímac &amp; Chorrillos</w:t>
      </w:r>
      <w:r>
        <w:t xml:space="preserve">: +35% (Rural-adjacent districts with accelerated teacher training initiatives)</w:t>
      </w:r>
    </w:p>
    <w:bookmarkEnd w:id="23"/>
    <w:bookmarkEnd w:id="24"/>
    <w:bookmarkStart w:id="25" w:name="key-success-drivers-in-peru-lima"/>
    <w:p>
      <w:pPr>
        <w:pStyle w:val="Heading2"/>
      </w:pPr>
      <w:r>
        <w:t xml:space="preserve">Key Success Drivers in Peru Lima</w:t>
      </w:r>
    </w:p>
    <w:p>
      <w:pPr>
        <w:pStyle w:val="FirstParagraph"/>
      </w:pPr>
      <w:r>
        <w:t xml:space="preserve">Our Teacher Secondary sales surge in Lima stems from three strategic pillars:</w:t>
      </w:r>
    </w:p>
    <w:p>
      <w:pPr>
        <w:numPr>
          <w:ilvl w:val="0"/>
          <w:numId w:val="1002"/>
        </w:numPr>
        <w:pStyle w:val="Compact"/>
      </w:pPr>
      <w:r>
        <w:rPr>
          <w:bCs/>
          <w:b/>
        </w:rPr>
        <w:t xml:space="preserve">Curriculum Alignment</w:t>
      </w:r>
      <w:r>
        <w:t xml:space="preserve">: All Teacher Secondary content maps directly to Peru's National Curriculum (CNE), crucial for 100% of Lima schools under Ministry of Education mandates. This reduced purchase hesitation by 67% compared to generic competitors.</w:t>
      </w:r>
    </w:p>
    <w:p>
      <w:pPr>
        <w:numPr>
          <w:ilvl w:val="0"/>
          <w:numId w:val="1002"/>
        </w:numPr>
        <w:pStyle w:val="Compact"/>
      </w:pPr>
      <w:r>
        <w:rPr>
          <w:bCs/>
          <w:b/>
        </w:rPr>
        <w:t xml:space="preserve">Teacher-Centric Onboarding</w:t>
      </w:r>
      <w:r>
        <w:t xml:space="preserve">: In Lima, we deployed 27 dedicated educational consultants who co-create lesson plans with teachers during workshops – resulting in 89% retention rate versus industry average of 64%.</w:t>
      </w:r>
    </w:p>
    <w:p>
      <w:pPr>
        <w:numPr>
          <w:ilvl w:val="0"/>
          <w:numId w:val="1002"/>
        </w:numPr>
        <w:pStyle w:val="Compact"/>
      </w:pPr>
      <w:r>
        <w:rPr>
          <w:bCs/>
          <w:b/>
        </w:rPr>
        <w:t xml:space="preserve">Government Partnership Synergy</w:t>
      </w:r>
      <w:r>
        <w:t xml:space="preserve">: Collaborating with Peru's Ministry of Education (MINEDU) for the "Digital Teachers Lima" initiative allowed us to integrate Teacher Secondary solutions into municipal grants, securing contracts in 18 public high schools.</w:t>
      </w:r>
    </w:p>
    <w:bookmarkEnd w:id="25"/>
    <w:bookmarkStart w:id="26" w:name="Xb71fa1c11ff95f900cfa0bd9c8765a7d5b656e1"/>
    <w:p>
      <w:pPr>
        <w:pStyle w:val="Heading2"/>
      </w:pPr>
      <w:r>
        <w:t xml:space="preserve">Challenges &amp; Competitive Landscape in Peru Lima</w:t>
      </w:r>
    </w:p>
    <w:p>
      <w:pPr>
        <w:pStyle w:val="FirstParagraph"/>
      </w:pPr>
      <w:r>
        <w:t xml:space="preserve">Despite growth, significant hurdles persist:</w:t>
      </w:r>
    </w:p>
    <w:p>
      <w:pPr>
        <w:numPr>
          <w:ilvl w:val="0"/>
          <w:numId w:val="1003"/>
        </w:numPr>
        <w:pStyle w:val="Compact"/>
      </w:pPr>
      <w:r>
        <w:rPr>
          <w:bCs/>
          <w:b/>
        </w:rPr>
        <w:t xml:space="preserve">Infrastructure Gaps</w:t>
      </w:r>
      <w:r>
        <w:t xml:space="preserve">: 41% of Lima's secondary schools lack reliable broadband – requiring us to adapt Teacher Secondary offline functionality (addressed via USB-based modules).</w:t>
      </w:r>
    </w:p>
    <w:p>
      <w:pPr>
        <w:numPr>
          <w:ilvl w:val="0"/>
          <w:numId w:val="1003"/>
        </w:numPr>
        <w:pStyle w:val="Compact"/>
      </w:pPr>
      <w:r>
        <w:rPr>
          <w:bCs/>
          <w:b/>
        </w:rPr>
        <w:t xml:space="preserve">Competitive Pressure</w:t>
      </w:r>
      <w:r>
        <w:t xml:space="preserve">: Local edtechs like "EduLima" offer cheaper but less curriculum-aligned solutions. We countered by emphasizing our Teacher Secondary content's 100% Peru-specific case studies.</w:t>
      </w:r>
    </w:p>
    <w:p>
      <w:pPr>
        <w:numPr>
          <w:ilvl w:val="0"/>
          <w:numId w:val="1003"/>
        </w:numPr>
        <w:pStyle w:val="Compact"/>
      </w:pPr>
      <w:r>
        <w:rPr>
          <w:bCs/>
          <w:b/>
        </w:rPr>
        <w:t xml:space="preserve">Payment Cycles</w:t>
      </w:r>
      <w:r>
        <w:t xml:space="preserve">: Government schools in Lima have 90-120 day payment terms, straining cash flow. Solution: Introduced quarterly billing for institutional contracts.</w:t>
      </w:r>
    </w:p>
    <w:bookmarkEnd w:id="26"/>
    <w:bookmarkStart w:id="27" w:name="Xc47181357e52472a5ed5fd67f5cc557005e9d92"/>
    <w:p>
      <w:pPr>
        <w:pStyle w:val="Heading2"/>
      </w:pPr>
      <w:r>
        <w:t xml:space="preserve">Teacher Secondary Market Insights (Peru Lima Specific)</w:t>
      </w:r>
    </w:p>
    <w:p>
      <w:pPr>
        <w:pStyle w:val="FirstParagraph"/>
      </w:pPr>
      <w:r>
        <w:t xml:space="preserve">Data from our Q3 teacher satisfaction survey reveals critical trends:</w:t>
      </w:r>
    </w:p>
    <w:p>
      <w:pPr>
        <w:numPr>
          <w:ilvl w:val="0"/>
          <w:numId w:val="1004"/>
        </w:numPr>
        <w:pStyle w:val="Compact"/>
      </w:pPr>
      <w:r>
        <w:t xml:space="preserve">92% of Lima teachers using Teacher Secondary reported improved student engagement scores</w:t>
      </w:r>
    </w:p>
    <w:p>
      <w:pPr>
        <w:numPr>
          <w:ilvl w:val="0"/>
          <w:numId w:val="1004"/>
        </w:numPr>
        <w:pStyle w:val="Compact"/>
      </w:pPr>
      <w:r>
        <w:t xml:space="preserve">76% cited "relevance to Peruvian context" as the top reason for adoption</w:t>
      </w:r>
    </w:p>
    <w:p>
      <w:pPr>
        <w:numPr>
          <w:ilvl w:val="0"/>
          <w:numId w:val="1004"/>
        </w:numPr>
        <w:pStyle w:val="Compact"/>
      </w:pPr>
      <w:r>
        <w:t xml:space="preserve">43% requested localized content for indigenous languages (Quechua/Aymara) – now in development phase for our Teacher Secondary platform</w:t>
      </w:r>
    </w:p>
    <w:bookmarkEnd w:id="27"/>
    <w:bookmarkStart w:id="28" w:name="Xf99210918227c79ffeff502679fd2ff482c21f3"/>
    <w:p>
      <w:pPr>
        <w:pStyle w:val="Heading2"/>
      </w:pPr>
      <w:r>
        <w:t xml:space="preserve">Strategic Recommendations for Q4 2023 &amp; Beyond</w:t>
      </w:r>
    </w:p>
    <w:p>
      <w:pPr>
        <w:numPr>
          <w:ilvl w:val="0"/>
          <w:numId w:val="1005"/>
        </w:numPr>
        <w:pStyle w:val="Compact"/>
      </w:pPr>
      <w:r>
        <w:rPr>
          <w:bCs/>
          <w:b/>
        </w:rPr>
        <w:t xml:space="preserve">Expand Teacher Secondary Rural Connectivity Pilot</w:t>
      </w:r>
      <w:r>
        <w:t xml:space="preserve">: Launch 5 satellite hubs in Lima's underserved districts (Comas, Santa Cruz de Miraflores) with offline Teacher Secondary kits + solar-powered charging stations.</w:t>
      </w:r>
    </w:p>
    <w:p>
      <w:pPr>
        <w:numPr>
          <w:ilvl w:val="0"/>
          <w:numId w:val="1005"/>
        </w:numPr>
        <w:pStyle w:val="Compact"/>
      </w:pPr>
      <w:r>
        <w:rPr>
          <w:bCs/>
          <w:b/>
        </w:rPr>
        <w:t xml:space="preserve">Develop Quechua/Aymara Digital Modules</w:t>
      </w:r>
      <w:r>
        <w:t xml:space="preserve">: Accelerate localization of Teacher Secondary content to capture 27% of Lima's bilingual education schools (per INEI 2023 data).</w:t>
      </w:r>
    </w:p>
    <w:p>
      <w:pPr>
        <w:numPr>
          <w:ilvl w:val="0"/>
          <w:numId w:val="1005"/>
        </w:numPr>
        <w:pStyle w:val="Compact"/>
      </w:pPr>
      <w:r>
        <w:rPr>
          <w:bCs/>
          <w:b/>
        </w:rPr>
        <w:t xml:space="preserve">Secure Ministry of Education Framework Contract</w:t>
      </w:r>
      <w:r>
        <w:t xml:space="preserve">: Target MINEDU's 2024 budget allocation for digital teacher training to position Teacher Secondary as the sole endorsed solution.</w:t>
      </w:r>
    </w:p>
    <w:p>
      <w:pPr>
        <w:numPr>
          <w:ilvl w:val="0"/>
          <w:numId w:val="1005"/>
        </w:numPr>
        <w:pStyle w:val="Compact"/>
      </w:pPr>
      <w:r>
        <w:rPr>
          <w:bCs/>
          <w:b/>
        </w:rPr>
        <w:t xml:space="preserve">Implement Loyalty Program for Lima Educators</w:t>
      </w:r>
      <w:r>
        <w:t xml:space="preserve">: Create a tiered rewards system where teachers earn offline Teacher Secondary resource credits through peer referrals.</w:t>
      </w:r>
    </w:p>
    <w:bookmarkEnd w:id="28"/>
    <w:bookmarkStart w:id="29" w:name="conclusion"/>
    <w:p>
      <w:pPr>
        <w:pStyle w:val="Heading2"/>
      </w:pPr>
      <w:r>
        <w:t xml:space="preserve">Conclusion</w:t>
      </w:r>
    </w:p>
    <w:p>
      <w:pPr>
        <w:pStyle w:val="FirstParagraph"/>
      </w:pPr>
      <w:r>
        <w:t xml:space="preserve">The Q3 2023 Sales Report confirms that our Teacher Secondary product suite is uniquely positioned to address Lima's secondary education ecosystem. By embedding Peru-specific pedagogy, navigating local infrastructure constraints, and leveraging government partnerships, we've transformed Teacher Secondary from a product into an essential educational partnership within Peru Lima. The 15% growth isn't just revenue – it's 12,000+ teachers across 48 institutions gaining tools to improve classroom outcomes in one of Latin America's most demanding educational markets. As Peru continues its education modernization journey, our commitment to Teacher Secondary excellence will remain central to sustainable impact across Lima and the national secondary sector. We project $650,000 USD in Q4 revenue for Teacher Secondary solutions – a 34% YoY increase that positions us for leadership in the Peru Lima education technology landscape.</w:t>
      </w:r>
    </w:p>
    <w:p>
      <w:pPr>
        <w:pStyle w:val="BodyText"/>
      </w:pPr>
      <w:r>
        <w:rPr>
          <w:bCs/>
          <w:b/>
        </w:rPr>
        <w:t xml:space="preserve">Prepared By:</w:t>
      </w:r>
      <w:r>
        <w:t xml:space="preserve"> </w:t>
      </w:r>
      <w:r>
        <w:t xml:space="preserve">Regional Sales Director, Latin America</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p>
      <w:pPr>
        <w:pStyle w:val="BodyText"/>
      </w:pPr>
      <w:r>
        <w:rPr>
          <w:iCs/>
          <w:i/>
        </w:rPr>
        <w:t xml:space="preserve">This Sales Report for Teacher Secondary products reflects the unique educational dynamics of Peru Lima. All data sources include Ministry of Education Peru (MINEDU), National Institute of Statistics and Informatics (INEI), and our internal teacher satisfaction surveys conducted across Lima's 42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Products &amp; Services - Peru Lima</dc:title>
  <dc:creator/>
  <dc:language>en</dc:language>
  <cp:keywords/>
  <dcterms:created xsi:type="dcterms:W3CDTF">2026-07-22T15:33:52Z</dcterms:created>
  <dcterms:modified xsi:type="dcterms:W3CDTF">2026-07-22T15:33:52Z</dcterms:modified>
</cp:coreProperties>
</file>

<file path=docProps/custom.xml><?xml version="1.0" encoding="utf-8"?>
<Properties xmlns="http://schemas.openxmlformats.org/officeDocument/2006/custom-properties" xmlns:vt="http://schemas.openxmlformats.org/officeDocument/2006/docPropsVTypes"/>
</file>