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Philippines</w:t>
      </w:r>
      <w:r>
        <w:t xml:space="preserve"> </w:t>
      </w:r>
      <w:r>
        <w:t xml:space="preserve">Manila</w:t>
      </w:r>
    </w:p>
    <w:bookmarkStart w:id="31" w:name="Xe0d48ba73ff17109131f649267ba14ecba74817"/>
    <w:p>
      <w:pPr>
        <w:pStyle w:val="Heading1"/>
      </w:pPr>
      <w:r>
        <w:t xml:space="preserve">QUARTERLY SALES REPORT FOR TEACHER SECONDARY EDUCATION PRODUCTS IN PHILIPPINES MANILA</w:t>
      </w:r>
    </w:p>
    <w:p>
      <w:pPr>
        <w:pStyle w:val="FirstParagraph"/>
      </w:pPr>
      <w:r>
        <w:t xml:space="preserve">Prepared for Manila Educational Distributors Network • Q3 2023 Report • Date: October 15, 2023</w:t>
      </w:r>
    </w:p>
    <w:bookmarkStart w:id="20" w:name="executive-summary"/>
    <w:p>
      <w:pPr>
        <w:pStyle w:val="Heading2"/>
      </w:pPr>
      <w:r>
        <w:t xml:space="preserve">Executive Summary</w:t>
      </w:r>
    </w:p>
    <w:p>
      <w:pPr>
        <w:pStyle w:val="FirstParagraph"/>
      </w:pPr>
      <w:r>
        <w:t xml:space="preserve">This Sales Report details the performance of educational products specifically designed for Teacher Secondary educators across Manila, Philippines. The quarter has demonstrated remarkable growth in demand for curriculum-aligned teaching resources, with a 34% year-over-year increase in sales volume targeting secondary school instructors. Manila's educational landscape continues to drive this momentum as the Department of Education (DepEd) accelerates its K-12 program implementation. This report confirms that Teacher Secondary-focused products remain critical to Manila's educational transformation, with our solutions capturing 28% market share among certified teaching resources in the capital region.</w:t>
      </w:r>
    </w:p>
    <w:bookmarkEnd w:id="20"/>
    <w:bookmarkStart w:id="21" w:name="X7dfc2e36009b6d5be12b71c990398fa41ab86e2"/>
    <w:p>
      <w:pPr>
        <w:pStyle w:val="Heading2"/>
      </w:pPr>
      <w:r>
        <w:t xml:space="preserve">Market Analysis: Teacher Secondary Segment in Manila</w:t>
      </w:r>
    </w:p>
    <w:p>
      <w:pPr>
        <w:pStyle w:val="FirstParagraph"/>
      </w:pPr>
      <w:r>
        <w:t xml:space="preserve">Manila's secondary education sector presents unique opportunities and challenges. With over 1,200 public and private secondary schools operating across the metropolis, Teacher Secondary educators face mounting pressures including overcrowded classrooms (averaging 45 students per section), limited teaching materials, and evolving DepEd standards. Our Sales Report reveals that Manila teachers prioritize:</w:t>
      </w:r>
    </w:p>
    <w:p>
      <w:pPr>
        <w:numPr>
          <w:ilvl w:val="0"/>
          <w:numId w:val="1001"/>
        </w:numPr>
        <w:pStyle w:val="Compact"/>
      </w:pPr>
      <w:r>
        <w:t xml:space="preserve">Aligned resources with the New Normal Learning Framework (NLLF)</w:t>
      </w:r>
    </w:p>
    <w:p>
      <w:pPr>
        <w:numPr>
          <w:ilvl w:val="0"/>
          <w:numId w:val="1001"/>
        </w:numPr>
        <w:pStyle w:val="Compact"/>
      </w:pPr>
      <w:r>
        <w:t xml:space="preserve">Technology-integrated tools for blended learning</w:t>
      </w:r>
    </w:p>
    <w:p>
      <w:pPr>
        <w:numPr>
          <w:ilvl w:val="0"/>
          <w:numId w:val="1001"/>
        </w:numPr>
        <w:pStyle w:val="Compact"/>
      </w:pPr>
      <w:r>
        <w:t xml:space="preserve">Cost-effective solutions for resource-constrained schools</w:t>
      </w:r>
    </w:p>
    <w:p>
      <w:pPr>
        <w:pStyle w:val="FirstParagraph"/>
      </w:pPr>
      <w:r>
        <w:t xml:space="preserve">In Q3, Manila accounted for 62% of our national Teacher Secondary sales volume. The highest demand emerged in Quezon City (41%), Mandaluyong (23%), and Makati (18%) – all key educational hubs where Teacher Secondary professionals operate under intense resource constraints. Notably, 78% of purchased products were for Grade 7-10 learners, reflecting Manila's current secondary cohort distribution.</w:t>
      </w:r>
    </w:p>
    <w:bookmarkEnd w:id="21"/>
    <w:bookmarkStart w:id="23"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w:t>
            </w:r>
          </w:p>
        </w:tc>
        <w:tc>
          <w:tcPr/>
          <w:p>
            <w:pPr>
              <w:pStyle w:val="Compact"/>
              <w:jc w:val="left"/>
            </w:pPr>
            <w:r>
              <w:t xml:space="preserve">% of Total Manila Sales</w:t>
            </w:r>
          </w:p>
        </w:tc>
        <w:tc>
          <w:tcPr/>
          <w:p>
            <w:pPr>
              <w:pStyle w:val="Compact"/>
              <w:jc w:val="left"/>
            </w:pPr>
            <w:r>
              <w:t xml:space="preserve">YoY Growth</w:t>
            </w:r>
          </w:p>
        </w:tc>
      </w:tr>
      <w:tr>
        <w:tc>
          <w:tcPr/>
          <w:p>
            <w:pPr>
              <w:pStyle w:val="Compact"/>
              <w:jc w:val="left"/>
            </w:pPr>
            <w:r>
              <w:t xml:space="preserve">Interactive Digital Lesson Kits</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+56%</w:t>
            </w:r>
          </w:p>
        </w:tc>
      </w:tr>
      <w:tr>
        <w:tc>
          <w:tcPr/>
          <w:p>
            <w:pPr>
              <w:pStyle w:val="Compact"/>
              <w:jc w:val="left"/>
            </w:pPr>
            <w:r>
              <w:t xml:space="preserve">DepEd-Compliant Workbooks</w:t>
            </w:r>
          </w:p>
        </w:tc>
        <w:tc>
          <w:tcPr/>
          <w:p>
            <w:pPr>
              <w:pStyle w:val="Compact"/>
              <w:jc w:val="left"/>
            </w:pPr>
            <w:r>
              <w:t xml:space="preserve">₱1,375,000</w:t>
            </w:r>
          </w:p>
        </w:tc>
        <w:tc>
          <w:tcPr/>
          <w:p>
            <w:pPr>
              <w:pStyle w:val="Compact"/>
              <w:jc w:val="left"/>
            </w:pPr>
            <w:r>
              <w:t xml:space="preserve">31%</w:t>
            </w:r>
          </w:p>
        </w:tc>
        <w:tc>
          <w:tcPr/>
          <w:p>
            <w:pPr>
              <w:pStyle w:val="Compact"/>
              <w:jc w:val="left"/>
            </w:pPr>
            <w:r>
              <w:t xml:space="preserve">+29%</w:t>
            </w:r>
          </w:p>
        </w:tc>
      </w:tr>
      <w:tr>
        <w:tc>
          <w:tcPr/>
          <w:p>
            <w:pPr>
              <w:pStyle w:val="Compact"/>
              <w:jc w:val="left"/>
            </w:pPr>
            <w:r>
              <w:t xml:space="preserve">Teacher Training Modules</w:t>
            </w:r>
          </w:p>
        </w:tc>
        <w:tc>
          <w:tcPr/>
          <w:p>
            <w:pPr>
              <w:pStyle w:val="Compact"/>
              <w:jc w:val="left"/>
            </w:pPr>
            <w:r>
              <w:t xml:space="preserve">₱680,000</w:t>
            </w:r>
            <w:r>
              <w:t xml:space="preserve"> </w:t>
            </w:r>
            <w:r>
              <w:t xml:space="preserve">15%</w:t>
            </w:r>
            <w:r>
              <w:t xml:space="preserve"> </w:t>
            </w:r>
            <w:r>
              <w:t xml:space="preserve">+22%</w:t>
            </w:r>
          </w:p>
        </w:tc>
        <w:tc>
          <w:tcPr/>
          <w:p>
            <w:pPr>
              <w:pStyle w:val="Compact"/>
            </w:pPr>
          </w:p>
        </w:tc>
        <w:tc>
          <w:tcPr/>
          <w:p>
            <w:pPr>
              <w:pStyle w:val="Compact"/>
            </w:pPr>
          </w:p>
        </w:tc>
      </w:tr>
      <w:tr>
        <w:tc>
          <w:tcPr/>
          <w:p>
            <w:pPr>
              <w:pStyle w:val="Compact"/>
              <w:jc w:val="left"/>
            </w:pPr>
            <w:r>
              <w:t xml:space="preserve">Classroom Technology Kits</w:t>
            </w:r>
          </w:p>
        </w:tc>
        <w:tc>
          <w:tcPr/>
          <w:p>
            <w:pPr>
              <w:pStyle w:val="Compact"/>
              <w:jc w:val="left"/>
            </w:pPr>
            <w:r>
              <w:t xml:space="preserve">₱590,000</w:t>
            </w:r>
          </w:p>
        </w:tc>
        <w:tc>
          <w:tcPr/>
          <w:p>
            <w:pPr>
              <w:pStyle w:val="Compact"/>
              <w:jc w:val="left"/>
            </w:pPr>
            <w:r>
              <w:t xml:space="preserve">13%</w:t>
            </w:r>
          </w:p>
        </w:tc>
        <w:tc>
          <w:tcPr/>
          <w:p>
            <w:pPr>
              <w:pStyle w:val="Compact"/>
              <w:jc w:val="left"/>
            </w:pPr>
            <w:r>
              <w:t xml:space="preserve">+78%</w:t>
            </w:r>
          </w:p>
        </w:tc>
      </w:tr>
    </w:tbl>
    <w:bookmarkStart w:id="22" w:name="key-market-insights"/>
    <w:p>
      <w:pPr>
        <w:pStyle w:val="Heading3"/>
      </w:pPr>
      <w:r>
        <w:t xml:space="preserve">Key Market Insights:</w:t>
      </w:r>
    </w:p>
    <w:p>
      <w:pPr>
        <w:numPr>
          <w:ilvl w:val="0"/>
          <w:numId w:val="1002"/>
        </w:numPr>
        <w:pStyle w:val="Compact"/>
      </w:pPr>
      <w:r>
        <w:rPr>
          <w:bCs/>
          <w:b/>
        </w:rPr>
        <w:t xml:space="preserve">Technology Adoption Surge:</w:t>
      </w:r>
      <w:r>
        <w:t xml:space="preserve"> </w:t>
      </w:r>
      <w:r>
        <w:t xml:space="preserve">Demand for digital Teacher Secondary tools increased by 78% as Manila schools accelerate hybrid learning. The "EduMakina" digital kit saw record sales with 2,350 units sold to public schools in Quezon City alone.</w:t>
      </w:r>
    </w:p>
    <w:p>
      <w:pPr>
        <w:numPr>
          <w:ilvl w:val="0"/>
          <w:numId w:val="1002"/>
        </w:numPr>
        <w:pStyle w:val="Compact"/>
      </w:pPr>
      <w:r>
        <w:rPr>
          <w:bCs/>
          <w:b/>
        </w:rPr>
        <w:t xml:space="preserve">Workbook Demand:</w:t>
      </w:r>
      <w:r>
        <w:t xml:space="preserve"> </w:t>
      </w:r>
      <w:r>
        <w:t xml:space="preserve">DepEd's revised curriculum for Grade 9 Science drove 41% of all workbooks sold. Manila Teacher Secondary professionals specifically requested updated materials aligned with the K-12 competency standards.</w:t>
      </w:r>
    </w:p>
    <w:p>
      <w:pPr>
        <w:numPr>
          <w:ilvl w:val="0"/>
          <w:numId w:val="1002"/>
        </w:numPr>
        <w:pStyle w:val="Compact"/>
      </w:pPr>
      <w:r>
        <w:rPr>
          <w:bCs/>
          <w:b/>
        </w:rPr>
        <w:t xml:space="preserve">Professional Development:</w:t>
      </w:r>
      <w:r>
        <w:t xml:space="preserve"> </w:t>
      </w:r>
      <w:r>
        <w:t xml:space="preserve">Teacher Training Modules showed consistent growth as Manila schools prioritize capacity building – particularly in STEM integration and special education needs (SEN) training, which is now mandated by DepEd Order No. 28, s. 2021.</w:t>
      </w:r>
    </w:p>
    <w:bookmarkEnd w:id="22"/>
    <w:bookmarkEnd w:id="23"/>
    <w:bookmarkStart w:id="27" w:name="regional-performance-breakdown"/>
    <w:p>
      <w:pPr>
        <w:pStyle w:val="Heading2"/>
      </w:pPr>
      <w:r>
        <w:t xml:space="preserve">Regional Performance Breakdown</w:t>
      </w:r>
    </w:p>
    <w:p>
      <w:pPr>
        <w:pStyle w:val="FirstParagraph"/>
      </w:pPr>
      <w:r>
        <w:t xml:space="preserve">Manila's geographic diversity impacts Teacher Secondary product adoption. Our Sales Report identifies three distinct patterns:</w:t>
      </w:r>
    </w:p>
    <w:bookmarkStart w:id="24" w:name="X6f8a3a4b8e8a98d2393651d957b241463d3fe32"/>
    <w:p>
      <w:pPr>
        <w:pStyle w:val="Heading3"/>
      </w:pPr>
      <w:r>
        <w:t xml:space="preserve">1. Public School Zones (e.g., Navotas, Parañaque)</w:t>
      </w:r>
    </w:p>
    <w:p>
      <w:pPr>
        <w:pStyle w:val="FirstParagraph"/>
      </w:pPr>
      <w:r>
        <w:t xml:space="preserve">These areas represent 68% of Teacher Secondary sales volume. Budget constraints drive demand for cost-effective workbooks and training modules. Notable success: The "EduMakina Starter Kit" sold 1,200 units to public schools in Pasig, with a follow-up purchase rate of 37%.</w:t>
      </w:r>
    </w:p>
    <w:bookmarkEnd w:id="24"/>
    <w:bookmarkStart w:id="25" w:name="X2897b7b4d5c71e405bc56575f656c28217de6c9"/>
    <w:p>
      <w:pPr>
        <w:pStyle w:val="Heading3"/>
      </w:pPr>
      <w:r>
        <w:t xml:space="preserve">2. Private School Corridors (e.g., Makati, Bonifacio Global City)</w:t>
      </w:r>
    </w:p>
    <w:p>
      <w:pPr>
        <w:pStyle w:val="FirstParagraph"/>
      </w:pPr>
      <w:r>
        <w:t xml:space="preserve">Private institutions accounted for 19% of revenue with premium digital solutions. The "EduMakina Pro" package saw 85% adoption among elite secondary schools, with average spend per school at ₱45,000. Teacher Secondary instructors here prioritize analytics-driven teaching tools.</w:t>
      </w:r>
    </w:p>
    <w:bookmarkEnd w:id="25"/>
    <w:bookmarkStart w:id="26" w:name="X3c584ef9467ab348a3f58c2dace2db1813c77ed"/>
    <w:p>
      <w:pPr>
        <w:pStyle w:val="Heading3"/>
      </w:pPr>
      <w:r>
        <w:t xml:space="preserve">4. Special Education Centers (e.g., San Juan, Marikina)</w:t>
      </w:r>
    </w:p>
    <w:p>
      <w:pPr>
        <w:pStyle w:val="FirstParagraph"/>
      </w:pPr>
      <w:r>
        <w:t xml:space="preserve">Emerging segment with 9% market share. Teacher Secondary professionals in SEN facilities demanded specialized materials, resulting in a 100% YoY growth for our "Inclusive Learning" modules – crucial for Manila's commitment to universal education access.</w:t>
      </w:r>
    </w:p>
    <w:bookmarkEnd w:id="26"/>
    <w:bookmarkEnd w:id="27"/>
    <w:bookmarkStart w:id="28" w:name="Xa3e970a5a2a7d89dc49d072218039514713d500"/>
    <w:p>
      <w:pPr>
        <w:pStyle w:val="Heading2"/>
      </w:pPr>
      <w:r>
        <w:t xml:space="preserve">Challenges Facing Teacher Secondary Sales in Manila</w:t>
      </w:r>
    </w:p>
    <w:p>
      <w:pPr>
        <w:pStyle w:val="FirstParagraph"/>
      </w:pPr>
      <w:r>
        <w:t xml:space="preserve">Our field research reveals critical barriers affecting Teacher Secondary product adoption:</w:t>
      </w:r>
    </w:p>
    <w:p>
      <w:pPr>
        <w:numPr>
          <w:ilvl w:val="0"/>
          <w:numId w:val="1003"/>
        </w:numPr>
        <w:pStyle w:val="Compact"/>
      </w:pPr>
      <w:r>
        <w:rPr>
          <w:bCs/>
          <w:b/>
        </w:rPr>
        <w:t xml:space="preserve">Payment Delays:</w:t>
      </w:r>
      <w:r>
        <w:t xml:space="preserve"> </w:t>
      </w:r>
      <w:r>
        <w:t xml:space="preserve">Public schools in Manila experience average 90-day payment cycles (vs. industry standard of 30 days), straining cash flow for both distributors and educators.</w:t>
      </w:r>
    </w:p>
    <w:p>
      <w:pPr>
        <w:numPr>
          <w:ilvl w:val="0"/>
          <w:numId w:val="1003"/>
        </w:numPr>
        <w:pStyle w:val="Compact"/>
      </w:pPr>
      <w:r>
        <w:rPr>
          <w:bCs/>
          <w:b/>
        </w:rPr>
        <w:t xml:space="preserve">Digital Divide:</w:t>
      </w:r>
      <w:r>
        <w:t xml:space="preserve"> </w:t>
      </w:r>
      <w:r>
        <w:t xml:space="preserve">Only 63% of Manila public secondary schools have reliable internet – limiting digital solution uptake despite high demand.</w:t>
      </w:r>
    </w:p>
    <w:p>
      <w:pPr>
        <w:numPr>
          <w:ilvl w:val="0"/>
          <w:numId w:val="1003"/>
        </w:numPr>
        <w:pStyle w:val="Compact"/>
      </w:pPr>
      <w:r>
        <w:rPr>
          <w:bCs/>
          <w:b/>
        </w:rPr>
        <w:t xml:space="preserve">Certification Requirements:</w:t>
      </w:r>
      <w:r>
        <w:t xml:space="preserve"> </w:t>
      </w:r>
      <w:r>
        <w:t xml:space="preserve">DepEd mandates all Teacher Secondary materials be "DepEd-Approved," causing 15% of sales to stall during certification cycles.</w:t>
      </w:r>
    </w:p>
    <w:bookmarkEnd w:id="28"/>
    <w:bookmarkStart w:id="29" w:name="strategic-recommendations"/>
    <w:p>
      <w:pPr>
        <w:pStyle w:val="Heading2"/>
      </w:pPr>
      <w:r>
        <w:t xml:space="preserve">Strategic Recommendations</w:t>
      </w:r>
    </w:p>
    <w:p>
      <w:pPr>
        <w:pStyle w:val="FirstParagraph"/>
      </w:pPr>
      <w:r>
        <w:t xml:space="preserve">Based on this Sales Report, we recommend:</w:t>
      </w:r>
    </w:p>
    <w:p>
      <w:pPr>
        <w:numPr>
          <w:ilvl w:val="0"/>
          <w:numId w:val="1004"/>
        </w:numPr>
        <w:pStyle w:val="Compact"/>
      </w:pPr>
      <w:r>
        <w:rPr>
          <w:bCs/>
          <w:b/>
        </w:rPr>
        <w:t xml:space="preserve">Expand Financing Options:</w:t>
      </w:r>
      <w:r>
        <w:t xml:space="preserve"> </w:t>
      </w:r>
      <w:r>
        <w:t xml:space="preserve">Partner with BPI and Metrobank to offer schools payment plans addressing Manila's budget delays.</w:t>
      </w:r>
    </w:p>
    <w:p>
      <w:pPr>
        <w:numPr>
          <w:ilvl w:val="0"/>
          <w:numId w:val="1004"/>
        </w:numPr>
        <w:pStyle w:val="Compact"/>
      </w:pPr>
      <w:r>
        <w:rPr>
          <w:bCs/>
          <w:b/>
        </w:rPr>
        <w:t xml:space="preserve">Hybrid Product Development:</w:t>
      </w:r>
      <w:r>
        <w:t xml:space="preserve"> </w:t>
      </w:r>
      <w:r>
        <w:t xml:space="preserve">Create offline digital kits (USB drives with lesson content) for areas without consistent internet – directly responding to Teacher Secondary needs in Manila's resource-limited zones.</w:t>
      </w:r>
    </w:p>
    <w:p>
      <w:pPr>
        <w:numPr>
          <w:ilvl w:val="0"/>
          <w:numId w:val="1004"/>
        </w:numPr>
        <w:pStyle w:val="Compact"/>
      </w:pPr>
      <w:r>
        <w:rPr>
          <w:bCs/>
          <w:b/>
        </w:rPr>
        <w:t xml:space="preserve">Accelerate DepEd Certification:</w:t>
      </w:r>
      <w:r>
        <w:t xml:space="preserve"> </w:t>
      </w:r>
      <w:r>
        <w:t xml:space="preserve">Dedicate in-house team to process certification requests, targeting 30-day turnaround to reduce sales pipeline friction.</w:t>
      </w:r>
    </w:p>
    <w:p>
      <w:pPr>
        <w:numPr>
          <w:ilvl w:val="0"/>
          <w:numId w:val="1004"/>
        </w:numPr>
        <w:pStyle w:val="Compact"/>
      </w:pPr>
      <w:r>
        <w:rPr>
          <w:bCs/>
          <w:b/>
        </w:rPr>
        <w:t xml:space="preserve">Manila Regional Sales Teams:</w:t>
      </w:r>
      <w:r>
        <w:t xml:space="preserve"> </w:t>
      </w:r>
      <w:r>
        <w:t xml:space="preserve">Increase field representatives from 4 to 8 in Q4 to build direct relationships with Teacher Secondary coordinators across Manila districts.</w:t>
      </w:r>
    </w:p>
    <w:bookmarkEnd w:id="29"/>
    <w:bookmarkStart w:id="30" w:name="conclusion"/>
    <w:p>
      <w:pPr>
        <w:pStyle w:val="Heading2"/>
      </w:pPr>
      <w:r>
        <w:t xml:space="preserve">Conclusion</w:t>
      </w:r>
    </w:p>
    <w:p>
      <w:pPr>
        <w:pStyle w:val="FirstParagraph"/>
      </w:pPr>
      <w:r>
        <w:t xml:space="preserve">This Sales Report confirms that Teacher Secondary educators in Philippines Manila represent our most promising market segment. The demand for curriculum-aligned, cost-effective educational solutions continues to outpace supply across all school types in the metropolis. With Manila's secondary education sector expanding at 4.2% annually (Bureau of Statistics 2023), our strategic focus on Teacher Secondary products positions us for sustained growth.</w:t>
      </w:r>
    </w:p>
    <w:p>
      <w:pPr>
        <w:pStyle w:val="BodyText"/>
      </w:pPr>
      <w:r>
        <w:t xml:space="preserve">As we move into Q4, we will prioritize solutions that directly address Manila's educational challenges: integrating technology without requiring high bandwidth, ensuring strict DepEd compliance, and building financial flexibility for schools. The success of Teacher Secondary-focused resources in this critical market will drive our national expansion strategy. We project 30% revenue growth by December 2023 through targeted Manila initiatives – proving that understanding the unique needs of Teacher Secondary professionals is key to educational business success in the Philippines.</w:t>
      </w:r>
    </w:p>
    <w:p>
      <w:pPr>
        <w:pStyle w:val="BodyText"/>
      </w:pPr>
      <w:r>
        <w:t xml:space="preserve">"In Manila's classrooms, every Teacher Secondary resource makes a difference. Our Sales Report measures not just transactions, but the impact on education." – Maria Santos, Regional Director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Philippines Manila</dc:title>
  <dc:creator/>
  <dc:language>en</dc:language>
  <cp:keywords/>
  <dcterms:created xsi:type="dcterms:W3CDTF">2026-07-21T02:29:46Z</dcterms:created>
  <dcterms:modified xsi:type="dcterms:W3CDTF">2026-07-21T02:29:46Z</dcterms:modified>
</cp:coreProperties>
</file>

<file path=docProps/custom.xml><?xml version="1.0" encoding="utf-8"?>
<Properties xmlns="http://schemas.openxmlformats.org/officeDocument/2006/custom-properties" xmlns:vt="http://schemas.openxmlformats.org/officeDocument/2006/docPropsVTypes"/>
</file>