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6" w:name="X51f50ac0fafa68804a2a885194697c70fdac5ae"/>
    <w:p>
      <w:pPr>
        <w:pStyle w:val="Heading1"/>
      </w:pPr>
      <w:r>
        <w:t xml:space="preserve">Comprehensive Sales Report: Teacher Secondary Placement Performance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Education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secondary education recruitment division specifically targeting teacher placements across Moscow, Russia. The period witnessed a significant 18% increase in demand for Teacher Secondary roles compared to Q2, driven by Moscow's educational modernization initiatives and post-pandemic enrollment recovery. Our agency successfully placed 147 qualified secondary educators in Moscow-based institutions (public schools, international academies, and private language centers), achieving 92% of quarterly sales targets. This report analyzes market dynamics, sales strategies, client feedback, and forward-looking recommendations critical to sustaining growth in the Russia Moscow Teacher Secondary sector.</w:t>
      </w:r>
    </w:p>
    <w:bookmarkEnd w:id="20"/>
    <w:bookmarkStart w:id="21" w:name="X931d9cadb3994145ab49cf35116d42d76c1462a"/>
    <w:p>
      <w:pPr>
        <w:pStyle w:val="Heading2"/>
      </w:pPr>
      <w:r>
        <w:t xml:space="preserve">II. Market Context: Why Moscow Demands Teacher Secondary Talent</w:t>
      </w:r>
    </w:p>
    <w:p>
      <w:pPr>
        <w:pStyle w:val="FirstParagraph"/>
      </w:pPr>
      <w:r>
        <w:t xml:space="preserve">Moscow's education ecosystem has undergone unprecedented transformation under Russia's national "Education 5.0" strategy, with secondary schools (grades 7-11) becoming the focal point for digital integration and STEM curriculum expansion. As of 2023, Moscow administers over 980 secondary institutions serving approximately 1.4 million students – a density three times higher than the national average. Crucially, the city's Department of Education reports a critical shortage of</w:t>
      </w:r>
      <w:r>
        <w:t xml:space="preserve"> </w:t>
      </w:r>
      <w:r>
        <w:rPr>
          <w:bCs/>
          <w:b/>
        </w:rPr>
        <w:t xml:space="preserve">Teacher Secondary</w:t>
      </w:r>
      <w:r>
        <w:t xml:space="preserve"> </w:t>
      </w:r>
      <w:r>
        <w:t xml:space="preserve">specialists in high-demand subjects: mathematics (+27% vacancy rate), physics (+35%), and English as a Foreign Language (+41%). This scarcity creates our most fertile sales territory within Russia Moscow.</w:t>
      </w:r>
    </w:p>
    <w:p>
      <w:pPr>
        <w:pStyle w:val="BodyText"/>
      </w:pPr>
      <w:r>
        <w:t xml:space="preserve">The competitive landscape is defined by two key factors: 1) Moscow's stringent teacher certification requirements (State Standard 2020), which elevated hiring barriers for foreign educators, and 2) the surge in private international schools (e.g., International School of Moscow, British School of Moscow), which now account for 38% of new secondary teaching contracts. Our sales team has capitalized on this by positioning our</w:t>
      </w:r>
      <w:r>
        <w:t xml:space="preserve"> </w:t>
      </w:r>
      <w:r>
        <w:rPr>
          <w:bCs/>
          <w:b/>
        </w:rPr>
        <w:t xml:space="preserve">Teacher Secondary</w:t>
      </w:r>
      <w:r>
        <w:t xml:space="preserve"> </w:t>
      </w:r>
      <w:r>
        <w:t xml:space="preserve">candidates as compliant with Russia's educational accreditation framework – a differentiator that directly impacts conversion rates.</w:t>
      </w:r>
    </w:p>
    <w:bookmarkEnd w:id="21"/>
    <w:bookmarkStart w:id="22" w:name="Xa6f9de903ce37d3b62d1eb4d13a0769d977518d"/>
    <w:p>
      <w:pPr>
        <w:pStyle w:val="Heading2"/>
      </w:pPr>
      <w:r>
        <w:t xml:space="preserve">III. Q3 2023 Sales Performance: Data-Driven Insights</w:t>
      </w:r>
    </w:p>
    <w:p>
      <w:pPr>
        <w:pStyle w:val="FirstParagraph"/>
      </w:pPr>
      <w:r>
        <w:t xml:space="preserve">Metrics</w:t>
      </w:r>
    </w:p>
    <w:p>
      <w:pPr>
        <w:pStyle w:val="BodyText"/>
      </w:pPr>
      <w:r>
        <w:t xml:space="preserve">Q3 2023</w:t>
      </w:r>
    </w:p>
    <w:p>
      <w:pPr>
        <w:pStyle w:val="BodyText"/>
      </w:pPr>
      <w:r>
        <w:t xml:space="preserve">Prior Quarter (Q2)</w:t>
      </w:r>
    </w:p>
    <w:p>
      <w:pPr>
        <w:pStyle w:val="BodyText"/>
      </w:pPr>
      <w:r>
        <w:t xml:space="preserve">% Change</w:t>
      </w:r>
    </w:p>
    <w:p>
      <w:pPr>
        <w:pStyle w:val="BodyText"/>
      </w:pPr>
      <w:r>
        <w:t xml:space="preserve">Total Teacher Secondary Placements in Moscow</w:t>
      </w:r>
    </w:p>
    <w:p>
      <w:pPr>
        <w:pStyle w:val="BodyText"/>
      </w:pPr>
      <w:r>
        <w:t xml:space="preserve">147</w:t>
      </w:r>
    </w:p>
    <w:p>
      <w:pPr>
        <w:pStyle w:val="BodyText"/>
      </w:pPr>
      <w:r>
        <w:t xml:space="preserve">124</w:t>
      </w:r>
    </w:p>
    <w:p>
      <w:pPr>
        <w:pStyle w:val="BodyText"/>
      </w:pPr>
      <w:r>
        <w:t xml:space="preserve">+18.5%</w:t>
      </w:r>
    </w:p>
    <w:p>
      <w:pPr>
        <w:pStyle w:val="BodyText"/>
      </w:pPr>
      <w:r>
        <w:t xml:space="preserve">Average Contract Value (USD)</w:t>
      </w:r>
    </w:p>
    <w:p>
      <w:pPr>
        <w:pStyle w:val="BodyText"/>
      </w:pPr>
      <w:r>
        <w:t xml:space="preserve">$48,500</w:t>
      </w:r>
    </w:p>
    <w:p>
      <w:pPr>
        <w:pStyle w:val="BodyText"/>
      </w:pPr>
      <w:r>
        <w:t xml:space="preserve">$46,200</w:t>
      </w:r>
    </w:p>
    <w:p>
      <w:pPr>
        <w:pStyle w:val="BodyText"/>
      </w:pPr>
      <w:r>
        <w:t xml:space="preserve">Top 3 Sought-After Subjects:</w:t>
      </w:r>
    </w:p>
    <w:p>
      <w:pPr>
        <w:pStyle w:val="BodyText"/>
      </w:pPr>
      <w:r>
        <w:t xml:space="preserve">Mathematics (32%)</w:t>
      </w:r>
    </w:p>
    <w:p>
      <w:pPr>
        <w:pStyle w:val="BodyText"/>
      </w:pPr>
      <w:r>
        <w:t xml:space="preserve">Physics (28%)</w:t>
      </w:r>
    </w:p>
    <w:p>
      <w:pPr>
        <w:pStyle w:val="BodyText"/>
      </w:pPr>
      <w:r>
        <w:t xml:space="preserve">English (24%)</w:t>
      </w:r>
    </w:p>
    <w:p>
      <w:pPr>
        <w:pStyle w:val="BodyText"/>
      </w:pPr>
      <w:r>
        <w:t xml:space="preserve">Clients Acquired in Moscow</w:t>
      </w:r>
    </w:p>
    <w:p>
      <w:pPr>
        <w:pStyle w:val="BodyText"/>
      </w:pPr>
      <w:r>
        <w:t xml:space="preserve">57 new contracts</w:t>
      </w:r>
    </w:p>
    <w:p>
      <w:pPr>
        <w:pStyle w:val="BodyText"/>
      </w:pPr>
      <w:r>
        <w:t xml:space="preserve">41 new contracts</w:t>
      </w:r>
    </w:p>
    <w:p>
      <w:pPr>
        <w:pStyle w:val="BodyText"/>
      </w:pPr>
      <w:r>
        <w:t xml:space="preserve">+39.0%</w:t>
      </w:r>
    </w:p>
    <w:p>
      <w:pPr>
        <w:pStyle w:val="BodyText"/>
      </w:pPr>
      <w:r>
        <w:t xml:space="preserve">Total Revenue Generated (Moscow)</w:t>
      </w:r>
    </w:p>
    <w:p>
      <w:pPr>
        <w:pStyle w:val="BodyText"/>
      </w:pPr>
      <w:r>
        <w:t xml:space="preserve">$7,089,500</w:t>
      </w:r>
    </w:p>
    <w:p>
      <w:pPr>
        <w:pStyle w:val="BodyText"/>
      </w:pPr>
      <w:r>
        <w:t xml:space="preserve">$5,738,800</w:t>
      </w:r>
    </w:p>
    <w:p>
      <w:pPr>
        <w:pStyle w:val="BodyText"/>
      </w:pPr>
      <w:r>
        <w:t xml:space="preserve">+23.6%</w:t>
      </w:r>
    </w:p>
    <w:p>
      <w:pPr>
        <w:pStyle w:val="BodyText"/>
      </w:pPr>
      <w:r>
        <w:t xml:space="preserve">The 23.6% revenue surge directly correlates with our strategic focus on Moscow's elite educational corridors (e.g., Krasnoselskoye District schools, Moscow International School networks). Notably, 68% of placements were for STEM-focused</w:t>
      </w:r>
      <w:r>
        <w:t xml:space="preserve"> </w:t>
      </w:r>
      <w:r>
        <w:rPr>
          <w:bCs/>
          <w:b/>
        </w:rPr>
        <w:t xml:space="preserve">Teacher Secondary</w:t>
      </w:r>
      <w:r>
        <w:t xml:space="preserve"> </w:t>
      </w:r>
      <w:r>
        <w:t xml:space="preserve">roles – a trend accelerated by Moscow City Government's $120M investment in secondary STEM labs. Our sales team achieved this through targeted outreach to school administrators at the Annual Moscow Education Forum, where we secured partnerships with 12 new institutions.</w:t>
      </w:r>
    </w:p>
    <w:bookmarkEnd w:id="22"/>
    <w:bookmarkStart w:id="23" w:name="X0f682c012a60a0ab2e58bd700befb9afb628688"/>
    <w:p>
      <w:pPr>
        <w:pStyle w:val="Heading2"/>
      </w:pPr>
      <w:r>
        <w:t xml:space="preserve">IV. Client Feedback &amp; Competitive Differentiation</w:t>
      </w:r>
    </w:p>
    <w:p>
      <w:pPr>
        <w:pStyle w:val="FirstParagraph"/>
      </w:pPr>
      <w:r>
        <w:t xml:space="preserve">Clients consistently cite two advantages when choosing our</w:t>
      </w:r>
      <w:r>
        <w:t xml:space="preserve"> </w:t>
      </w:r>
      <w:r>
        <w:rPr>
          <w:bCs/>
          <w:b/>
        </w:rPr>
        <w:t xml:space="preserve">Teacher Secondary</w:t>
      </w:r>
      <w:r>
        <w:t xml:space="preserve"> </w:t>
      </w:r>
      <w:r>
        <w:t xml:space="preserve">recruitment services in Russia Moscow:</w:t>
      </w:r>
    </w:p>
    <w:p>
      <w:pPr>
        <w:numPr>
          <w:ilvl w:val="0"/>
          <w:numId w:val="1001"/>
        </w:numPr>
        <w:pStyle w:val="Compact"/>
      </w:pPr>
      <w:r>
        <w:rPr>
          <w:bCs/>
          <w:b/>
        </w:rPr>
        <w:t xml:space="preserve">Russia-Compliant Onboarding:</w:t>
      </w:r>
      <w:r>
        <w:t xml:space="preserve"> </w:t>
      </w:r>
      <w:r>
        <w:t xml:space="preserve">"Your team navigated the complex Russian pedagogical certification process seamlessly," noted Elena Petrova, Head of HR at Moscow School #145. "While competitors took 90+ days for visa processing, we onboarded our new English Teacher Secondary within 28 days."</w:t>
      </w:r>
    </w:p>
    <w:p>
      <w:pPr>
        <w:numPr>
          <w:ilvl w:val="0"/>
          <w:numId w:val="1001"/>
        </w:numPr>
        <w:pStyle w:val="Compact"/>
      </w:pPr>
      <w:r>
        <w:rPr>
          <w:bCs/>
          <w:b/>
        </w:rPr>
        <w:t xml:space="preserve">Subject-Specialized Talent Pool:</w:t>
      </w:r>
      <w:r>
        <w:t xml:space="preserve"> </w:t>
      </w:r>
      <w:r>
        <w:t xml:space="preserve">Schools reported that our secondary educators demonstrated superior curriculum adaptation skills. For instance, physics teachers placed through us achieved 22% higher student engagement scores in Moscow's pilot AI-assisted learning programs.</w:t>
      </w:r>
    </w:p>
    <w:p>
      <w:pPr>
        <w:pStyle w:val="FirstParagraph"/>
      </w:pPr>
      <w:r>
        <w:t xml:space="preserve">This differentiation has allowed us to command a 15% premium over regional competitors in Moscow – a key factor driving sales velocity.</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immediate attention for sustained growth in the Russia Moscow market:</w:t>
      </w:r>
    </w:p>
    <w:p>
      <w:pPr>
        <w:numPr>
          <w:ilvl w:val="0"/>
          <w:numId w:val="1002"/>
        </w:numPr>
        <w:pStyle w:val="Compact"/>
      </w:pPr>
      <w:r>
        <w:rPr>
          <w:bCs/>
          <w:b/>
        </w:rPr>
        <w:t xml:space="preserve">Visa Processing Delays:</w:t>
      </w:r>
      <w:r>
        <w:t xml:space="preserve"> </w:t>
      </w:r>
      <w:r>
        <w:t xml:space="preserve">34% of delayed placements stemmed from Russian Ministry of Education documentation bottlenecks. *Recommendation:* Partner with a Moscow-based legal firm specializing in education visas to create a dedicated "Fast-Track" clearance unit for our</w:t>
      </w:r>
      <w:r>
        <w:t xml:space="preserve"> </w:t>
      </w:r>
      <w:r>
        <w:rPr>
          <w:bCs/>
          <w:b/>
        </w:rPr>
        <w:t xml:space="preserve">Teacher Secondary</w:t>
      </w:r>
      <w:r>
        <w:t xml:space="preserve"> </w:t>
      </w:r>
      <w:r>
        <w:t xml:space="preserve">candidates.</w:t>
      </w:r>
    </w:p>
    <w:p>
      <w:pPr>
        <w:numPr>
          <w:ilvl w:val="0"/>
          <w:numId w:val="1002"/>
        </w:numPr>
        <w:pStyle w:val="Compact"/>
      </w:pPr>
      <w:r>
        <w:rPr>
          <w:bCs/>
          <w:b/>
        </w:rPr>
        <w:t xml:space="preserve">Subject-Specific Shortages:</w:t>
      </w:r>
      <w:r>
        <w:t xml:space="preserve"> </w:t>
      </w:r>
      <w:r>
        <w:t xml:space="preserve">Demand for female physics teachers (+51% YoY) exceeds supply. *Recommendation:* Launch a targeted recruitment campaign in STEM-focused universities across the CIS region (e.g., Kazan Federal University) to expand our candidate pipeline.</w:t>
      </w:r>
    </w:p>
    <w:p>
      <w:pPr>
        <w:numPr>
          <w:ilvl w:val="0"/>
          <w:numId w:val="1002"/>
        </w:numPr>
        <w:pStyle w:val="Compact"/>
      </w:pPr>
      <w:r>
        <w:rPr>
          <w:bCs/>
          <w:b/>
        </w:rPr>
        <w:t xml:space="preserve">Competitive Pricing Pressure:</w:t>
      </w:r>
      <w:r>
        <w:t xml:space="preserve"> </w:t>
      </w:r>
      <w:r>
        <w:t xml:space="preserve">Russian municipal schools now offer 8-10% higher salary packages. *Recommendation:* Introduce value-added services like Moscow-specific cultural training and housing subsidies as standard in our</w:t>
      </w:r>
      <w:r>
        <w:t xml:space="preserve"> </w:t>
      </w:r>
      <w:r>
        <w:rPr>
          <w:bCs/>
          <w:b/>
        </w:rPr>
        <w:t xml:space="preserve">Teacher Secondary</w:t>
      </w:r>
      <w:r>
        <w:t xml:space="preserve"> </w:t>
      </w:r>
      <w:r>
        <w:t xml:space="preserve">sales packages.</w:t>
      </w:r>
    </w:p>
    <w:bookmarkEnd w:id="24"/>
    <w:bookmarkStart w:id="25" w:name="X5096734b56e5bc8397748624efe04f8c458ce2e"/>
    <w:p>
      <w:pPr>
        <w:pStyle w:val="Heading2"/>
      </w:pPr>
      <w:r>
        <w:t xml:space="preserve">VI. Conclusion: The Future of Teacher Secondary Sales in Moscow</w:t>
      </w:r>
    </w:p>
    <w:p>
      <w:pPr>
        <w:pStyle w:val="FirstParagraph"/>
      </w:pPr>
      <w:r>
        <w:t xml:space="preserve">The Russia Moscow secondary education market represents our most valuable growth engine globally, with projected demand for Teacher Secondary professionals increasing by 31% through 2025. Our Q3 results confirm that success hinges on two pillars: deep regulatory expertise within Russia's education framework and hyper-localized talent matching. As Moscow accelerates its transition toward digital classrooms, the premium for certified secondary educators will only intensify.</w:t>
      </w:r>
    </w:p>
    <w:p>
      <w:pPr>
        <w:pStyle w:val="BodyText"/>
      </w:pPr>
      <w:r>
        <w:t xml:space="preserve">We recommend allocating 70% of our 2024 recruitment budget to the Moscow market, expanding our local presence with a dedicated office in Central Moscow (near Smolenskaya Square), and developing industry-specific certification modules. By embedding ourselves as the indispensable partner for every school seeking Teacher Secondary talent in Russia's most dynamic educational hub, we will secure leadership in this critical sector for years to come.</w:t>
      </w:r>
    </w:p>
    <w:p>
      <w:pPr>
        <w:pStyle w:val="BodyText"/>
      </w:pPr>
      <w:r>
        <w:rPr>
          <w:bCs/>
          <w:b/>
        </w:rPr>
        <w:t xml:space="preserve">Prepared by:</w:t>
      </w:r>
      <w:r>
        <w:t xml:space="preserve"> </w:t>
      </w:r>
      <w:r>
        <w:t xml:space="preserve">Global Recruitment Analytics Division</w:t>
      </w:r>
      <w:r>
        <w:br/>
      </w:r>
      <w:r>
        <w:rPr>
          <w:bCs/>
          <w:b/>
        </w:rPr>
        <w:t xml:space="preserve">Contact:</w:t>
      </w:r>
      <w:r>
        <w:t xml:space="preserve"> </w:t>
      </w:r>
      <w:r>
        <w:t xml:space="preserve">sales.reports@educationrecruit.com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Russia Moscow Market Analysis</dc:title>
  <dc:creator/>
  <dc:language>en</dc:language>
  <cp:keywords/>
  <dcterms:created xsi:type="dcterms:W3CDTF">2026-07-21T14:39:48Z</dcterms:created>
  <dcterms:modified xsi:type="dcterms:W3CDTF">2026-07-21T14:39:48Z</dcterms:modified>
</cp:coreProperties>
</file>

<file path=docProps/custom.xml><?xml version="1.0" encoding="utf-8"?>
<Properties xmlns="http://schemas.openxmlformats.org/officeDocument/2006/custom-properties" xmlns:vt="http://schemas.openxmlformats.org/officeDocument/2006/docPropsVTypes"/>
</file>