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Secondary</w:t>
      </w:r>
      <w:r>
        <w:t xml:space="preserve"> </w:t>
      </w:r>
      <w:r>
        <w:t xml:space="preserve">Teacher</w:t>
      </w:r>
      <w:r>
        <w:t xml:space="preserve"> </w:t>
      </w:r>
      <w:r>
        <w:t xml:space="preserve">Recruitment</w:t>
      </w:r>
      <w:r>
        <w:t xml:space="preserve"> </w:t>
      </w:r>
      <w:r>
        <w:t xml:space="preserve">&amp;</w:t>
      </w:r>
      <w:r>
        <w:t xml:space="preserve"> </w:t>
      </w:r>
      <w:r>
        <w:t xml:space="preserve">Training</w:t>
      </w:r>
      <w:r>
        <w:t xml:space="preserve"> </w:t>
      </w:r>
      <w:r>
        <w:t xml:space="preserve">Services</w:t>
      </w:r>
      <w:r>
        <w:t xml:space="preserve"> </w:t>
      </w:r>
      <w:r>
        <w:t xml:space="preserve">-</w:t>
      </w:r>
      <w:r>
        <w:t xml:space="preserve"> </w:t>
      </w:r>
      <w:r>
        <w:t xml:space="preserve">Saint</w:t>
      </w:r>
      <w:r>
        <w:t xml:space="preserve"> </w:t>
      </w:r>
      <w:r>
        <w:t xml:space="preserve">Petersburg,</w:t>
      </w:r>
      <w:r>
        <w:t xml:space="preserve"> </w:t>
      </w:r>
      <w:r>
        <w:t xml:space="preserve">Russia</w:t>
      </w:r>
    </w:p>
    <w:bookmarkStart w:id="29" w:name="X04759e83b94c8eb5d81ab666b823716c59eac38"/>
    <w:p>
      <w:pPr>
        <w:pStyle w:val="Heading1"/>
      </w:pPr>
      <w:r>
        <w:t xml:space="preserve">SALES REPORT: SECONDARY TEACHER RECRUITMENT &amp; TRAINING SERVICES</w:t>
      </w:r>
    </w:p>
    <w:p>
      <w:pPr>
        <w:pStyle w:val="FirstParagraph"/>
      </w:pPr>
      <w:r>
        <w:t xml:space="preserve">Serving Saint Petersburg's Educational Landscape | Q3 2023 - Q1 2024</w:t>
      </w:r>
    </w:p>
    <w:bookmarkStart w:id="20" w:name="executive-summary"/>
    <w:p>
      <w:pPr>
        <w:pStyle w:val="Heading2"/>
      </w:pPr>
      <w:r>
        <w:t xml:space="preserve">Executive Summary</w:t>
      </w:r>
    </w:p>
    <w:p>
      <w:pPr>
        <w:pStyle w:val="FirstParagraph"/>
      </w:pPr>
      <w:r>
        <w:t xml:space="preserve">This report details the performance of EduSolutions' specialized secondary teacher recruitment and professional development services across Saint Petersburg, Russia. Following strategic investments in local partnerships and culturally tailored training programs, we achieved a 37% year-over-year growth in secondary school placements within Saint Petersburg's public and private educational institutions. Our focus on</w:t>
      </w:r>
      <w:r>
        <w:t xml:space="preserve"> </w:t>
      </w:r>
      <w:r>
        <w:rPr>
          <w:bCs/>
          <w:b/>
        </w:rPr>
        <w:t xml:space="preserve">Teacher Secondary</w:t>
      </w:r>
      <w:r>
        <w:t xml:space="preserve"> </w:t>
      </w:r>
      <w:r>
        <w:t xml:space="preserve">(specialized secondary-level educators) has positioned us as the market leader for matching qualified candidates with Saint Petersburg schools, directly addressing the region's critical teacher shortage in STEM, foreign languages, and inclusive education disciplines.</w:t>
      </w:r>
    </w:p>
    <w:bookmarkEnd w:id="20"/>
    <w:bookmarkStart w:id="21" w:name="X1ddc8c1446feadd637b4ae0e76865cf5ce84ac2"/>
    <w:p>
      <w:pPr>
        <w:pStyle w:val="Heading2"/>
      </w:pPr>
      <w:r>
        <w:t xml:space="preserve">Market Context in Russia - Saint Petersburg</w:t>
      </w:r>
    </w:p>
    <w:p>
      <w:pPr>
        <w:pStyle w:val="FirstParagraph"/>
      </w:pPr>
      <w:r>
        <w:t xml:space="preserve">Saint Petersburg's educational sector faces significant challenges, with the regional ministry reporting a 19% vacancy rate among secondary school teachers (ages 13-18) in 2023. This gap is most acute in STEM subjects (mathematics: 28%, physics: 34%) and modern foreign language instruction (English: 24%, German: 41%). Concurrently, the city's education budget increased by 9% in Q1 2024 to address teacher recruitment, creating unprecedented demand for specialized</w:t>
      </w:r>
      <w:r>
        <w:t xml:space="preserve"> </w:t>
      </w:r>
      <w:r>
        <w:rPr>
          <w:bCs/>
          <w:b/>
        </w:rPr>
        <w:t xml:space="preserve">Teacher Secondary</w:t>
      </w:r>
      <w:r>
        <w:t xml:space="preserve"> </w:t>
      </w:r>
      <w:r>
        <w:t xml:space="preserve">talent. EduSolutions' localized approach—leveraging Saint Petersburg's academic networks and understanding regional curriculum requirements—has allowed us to outperform national competitors by 23% in conversion rates.</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(Units)</w:t>
            </w:r>
          </w:p>
        </w:tc>
        <w:tc>
          <w:tcPr/>
          <w:p>
            <w:pPr>
              <w:pStyle w:val="Compact"/>
              <w:jc w:val="left"/>
            </w:pPr>
            <w:r>
              <w:t xml:space="preserve">Q1 2024 (Units)</w:t>
            </w:r>
          </w:p>
        </w:tc>
        <w:tc>
          <w:tcPr/>
          <w:p>
            <w:pPr>
              <w:pStyle w:val="Compact"/>
              <w:jc w:val="left"/>
            </w:pPr>
            <w:r>
              <w:t xml:space="preserve">YoY Growth</w:t>
            </w:r>
          </w:p>
        </w:tc>
      </w:tr>
      <w:tr>
        <w:tc>
          <w:tcPr/>
          <w:p>
            <w:pPr>
              <w:pStyle w:val="Compact"/>
              <w:jc w:val="left"/>
            </w:pPr>
            <w:r>
              <w:t xml:space="preserve">Secondary Teacher Recruitment (All Subjects)</w:t>
            </w:r>
          </w:p>
        </w:tc>
        <w:tc>
          <w:tcPr/>
          <w:p>
            <w:pPr>
              <w:pStyle w:val="Compact"/>
              <w:jc w:val="left"/>
            </w:pPr>
            <w:r>
              <w:t xml:space="preserve">47</w:t>
            </w:r>
          </w:p>
        </w:tc>
        <w:tc>
          <w:tcPr/>
          <w:p>
            <w:pPr>
              <w:pStyle w:val="Compact"/>
              <w:jc w:val="left"/>
            </w:pPr>
            <w:r>
              <w:t xml:space="preserve">69</w:t>
            </w:r>
          </w:p>
        </w:tc>
        <w:tc>
          <w:tcPr/>
          <w:p>
            <w:pPr>
              <w:pStyle w:val="Compact"/>
              <w:jc w:val="left"/>
            </w:pPr>
            <w:r>
              <w:t xml:space="preserve">+46.8%</w:t>
            </w:r>
          </w:p>
        </w:tc>
      </w:tr>
      <w:tr>
        <w:tc>
          <w:tcPr/>
          <w:p>
            <w:pPr>
              <w:pStyle w:val="Compact"/>
              <w:jc w:val="left"/>
            </w:pPr>
            <w:r>
              <w:t xml:space="preserve">STEM Teacher Specialization Program</w:t>
            </w:r>
          </w:p>
        </w:tc>
        <w:tc>
          <w:tcPr/>
          <w:p>
            <w:pPr>
              <w:pStyle w:val="Compact"/>
              <w:jc w:val="left"/>
            </w:pPr>
            <w:r>
              <w:t xml:space="preserve">18</w:t>
            </w:r>
          </w:p>
        </w:tc>
        <w:tc>
          <w:tcPr/>
          <w:p>
            <w:pPr>
              <w:pStyle w:val="Compact"/>
              <w:jc w:val="left"/>
            </w:pPr>
            <w:r>
              <w:t xml:space="preserve">35</w:t>
            </w:r>
          </w:p>
        </w:tc>
        <w:tc>
          <w:tcPr/>
          <w:p>
            <w:pPr>
              <w:pStyle w:val="Compact"/>
              <w:jc w:val="left"/>
            </w:pPr>
            <w:r>
              <w:t xml:space="preserve">+94.4%</w:t>
            </w:r>
          </w:p>
        </w:tc>
      </w:tr>
      <w:tr>
        <w:tc>
          <w:tcPr/>
          <w:p>
            <w:pPr>
              <w:pStyle w:val="Compact"/>
              <w:jc w:val="left"/>
            </w:pPr>
            <w:r>
              <w:t xml:space="preserve">Foreign Language Teacher Training (English/German)</w:t>
            </w:r>
          </w:p>
        </w:tc>
        <w:tc>
          <w:tcPr/>
          <w:p>
            <w:pPr>
              <w:pStyle w:val="Compact"/>
              <w:jc w:val="left"/>
            </w:pPr>
            <w:r>
              <w:t xml:space="preserve">15</w:t>
            </w:r>
          </w:p>
        </w:tc>
        <w:tc>
          <w:tcPr/>
          <w:p>
            <w:pPr>
              <w:pStyle w:val="Compact"/>
              <w:jc w:val="left"/>
            </w:pPr>
            <w:r>
              <w:t xml:space="preserve">28</w:t>
            </w:r>
          </w:p>
        </w:tc>
        <w:tc>
          <w:tcPr/>
          <w:p>
            <w:pPr>
              <w:pStyle w:val="Compact"/>
              <w:jc w:val="left"/>
            </w:pPr>
            <w:r>
              <w:t xml:space="preserve">+86.7%</w:t>
            </w:r>
          </w:p>
        </w:tc>
      </w:tr>
      <w:tr>
        <w:tc>
          <w:tcPr/>
          <w:p>
            <w:pPr>
              <w:pStyle w:val="Compact"/>
              <w:jc w:val="left"/>
            </w:pPr>
            <w:r>
              <w:t xml:space="preserve">Total Placements (Saint Petersburg Only)</w:t>
            </w:r>
          </w:p>
        </w:tc>
        <w:tc>
          <w:tcPr/>
          <w:p>
            <w:pPr>
              <w:pStyle w:val="Compact"/>
              <w:jc w:val="left"/>
            </w:pPr>
            <w:r>
              <w:t xml:space="preserve">80</w:t>
            </w:r>
          </w:p>
        </w:tc>
        <w:tc>
          <w:tcPr/>
          <w:p>
            <w:pPr>
              <w:pStyle w:val="Compact"/>
              <w:jc w:val="left"/>
            </w:pPr>
            <w:r>
              <w:t xml:space="preserve">132</w:t>
            </w:r>
          </w:p>
        </w:tc>
        <w:tc>
          <w:tcPr/>
          <w:p>
            <w:pPr>
              <w:pStyle w:val="Compact"/>
              <w:jc w:val="left"/>
            </w:pPr>
            <w:r>
              <w:t xml:space="preserve">+65%</w:t>
            </w:r>
          </w:p>
        </w:tc>
      </w:tr>
    </w:tbl>
    <w:p>
      <w:pPr>
        <w:pStyle w:val="BodyText"/>
      </w:pPr>
      <w:r>
        <w:t xml:space="preserve">Key drivers of growth include:</w:t>
      </w:r>
    </w:p>
    <w:p>
      <w:pPr>
        <w:numPr>
          <w:ilvl w:val="0"/>
          <w:numId w:val="1001"/>
        </w:numPr>
        <w:pStyle w:val="Compact"/>
      </w:pPr>
      <w:r>
        <w:rPr>
          <w:bCs/>
          <w:b/>
        </w:rPr>
        <w:t xml:space="preserve">Localized Partnerships:</w:t>
      </w:r>
      <w:r>
        <w:t xml:space="preserve"> </w:t>
      </w:r>
      <w:r>
        <w:t xml:space="preserve">Direct contracts with 14 Saint Petersburg municipal education departments (including Petrogradsky, Vyborgsky, and Kirovsky districts) and 9 private institutions like the British School of St. Petersburg</w:t>
      </w:r>
    </w:p>
    <w:p>
      <w:pPr>
        <w:numPr>
          <w:ilvl w:val="0"/>
          <w:numId w:val="1001"/>
        </w:numPr>
        <w:pStyle w:val="Compact"/>
      </w:pPr>
      <w:r>
        <w:rPr>
          <w:bCs/>
          <w:b/>
        </w:rPr>
        <w:t xml:space="preserve">Cultural Adaptation:</w:t>
      </w:r>
      <w:r>
        <w:t xml:space="preserve"> </w:t>
      </w:r>
      <w:r>
        <w:t xml:space="preserve">Training modules aligned with Russian Federal State Educational Standards (FSES) for Secondary Education, emphasizing Saint Petersburg's unique pedagogical traditions</w:t>
      </w:r>
    </w:p>
    <w:p>
      <w:pPr>
        <w:numPr>
          <w:ilvl w:val="0"/>
          <w:numId w:val="1001"/>
        </w:numPr>
        <w:pStyle w:val="Compact"/>
      </w:pPr>
      <w:r>
        <w:rPr>
          <w:bCs/>
          <w:b/>
        </w:rPr>
        <w:t xml:space="preserve">Technology Integration:</w:t>
      </w:r>
      <w:r>
        <w:t xml:space="preserve"> </w:t>
      </w:r>
      <w:r>
        <w:t xml:space="preserve">AI-powered matching system that prioritizes teacher geography (preference for candidates residing within 15km of schools in Saint Petersburg) and subject demand patterns</w:t>
      </w:r>
    </w:p>
    <w:bookmarkEnd w:id="22"/>
    <w:bookmarkStart w:id="25" w:name="strategic-initiatives-driving-success"/>
    <w:p>
      <w:pPr>
        <w:pStyle w:val="Heading2"/>
      </w:pPr>
      <w:r>
        <w:t xml:space="preserve">Strategic Initiatives Driving Success</w:t>
      </w:r>
    </w:p>
    <w:p>
      <w:pPr>
        <w:pStyle w:val="FirstParagraph"/>
      </w:pPr>
      <w:r>
        <w:t xml:space="preserve">Our success in the</w:t>
      </w:r>
      <w:r>
        <w:t xml:space="preserve"> </w:t>
      </w:r>
      <w:r>
        <w:rPr>
          <w:bCs/>
          <w:b/>
        </w:rPr>
        <w:t xml:space="preserve">Russia Saint Petersburg</w:t>
      </w:r>
      <w:r>
        <w:t xml:space="preserve"> </w:t>
      </w:r>
      <w:r>
        <w:t xml:space="preserve">market stems from three core initiatives:</w:t>
      </w:r>
    </w:p>
    <w:bookmarkStart w:id="23" w:name="X80c3319a31f040b908d4bbeb5f42a42c1cf3846"/>
    <w:p>
      <w:pPr>
        <w:pStyle w:val="Heading3"/>
      </w:pPr>
      <w:r>
        <w:t xml:space="preserve">1. Teacher Secondary Certification Program (TSCP)</w:t>
      </w:r>
    </w:p>
    <w:p>
      <w:pPr>
        <w:pStyle w:val="FirstParagraph"/>
      </w:pPr>
      <w:r>
        <w:t xml:space="preserve">Launched in January 2024, this accredited program provides Russian-language pedagogy training specifically for international secondary teachers seeking certification in Saint Petersburg schools. The curriculum covers:</w:t>
      </w:r>
    </w:p>
    <w:p>
      <w:pPr>
        <w:numPr>
          <w:ilvl w:val="0"/>
          <w:numId w:val="1002"/>
        </w:numPr>
        <w:pStyle w:val="Compact"/>
      </w:pPr>
      <w:r>
        <w:t xml:space="preserve">Russian educational psychology and classroom management protocols</w:t>
      </w:r>
    </w:p>
    <w:p>
      <w:pPr>
        <w:numPr>
          <w:ilvl w:val="0"/>
          <w:numId w:val="1002"/>
        </w:numPr>
        <w:pStyle w:val="Compact"/>
      </w:pPr>
      <w:r>
        <w:t xml:space="preserve">Integration of local history/culture into STEM and language lessons (e.g., using Hermitage Museum resources for art-history connections)</w:t>
      </w:r>
    </w:p>
    <w:p>
      <w:pPr>
        <w:numPr>
          <w:ilvl w:val="0"/>
          <w:numId w:val="1002"/>
        </w:numPr>
        <w:pStyle w:val="Compact"/>
      </w:pPr>
      <w:r>
        <w:t xml:space="preserve">Practical training in Saint Petersburg school settings through our partner network</w:t>
      </w:r>
    </w:p>
    <w:p>
      <w:pPr>
        <w:pStyle w:val="FirstParagraph"/>
      </w:pPr>
      <w:r>
        <w:t xml:space="preserve">This initiative directly addresses the 78% of foreign teachers who previously struggled with cultural adaptation—reducing early turnover by 52%. The program generated €142,000 in revenue from 33 certified</w:t>
      </w:r>
      <w:r>
        <w:t xml:space="preserve"> </w:t>
      </w:r>
      <w:r>
        <w:rPr>
          <w:bCs/>
          <w:b/>
        </w:rPr>
        <w:t xml:space="preserve">Teacher Secondary</w:t>
      </w:r>
      <w:r>
        <w:t xml:space="preserve"> </w:t>
      </w:r>
      <w:r>
        <w:t xml:space="preserve">professionals in Q1 2024 alone.</w:t>
      </w:r>
    </w:p>
    <w:bookmarkEnd w:id="23"/>
    <w:bookmarkStart w:id="24" w:name="district-specific-talent-pools"/>
    <w:p>
      <w:pPr>
        <w:pStyle w:val="Heading3"/>
      </w:pPr>
      <w:r>
        <w:t xml:space="preserve">2. District-Specific Talent Pools</w:t>
      </w:r>
    </w:p>
    <w:p>
      <w:pPr>
        <w:pStyle w:val="FirstParagraph"/>
      </w:pPr>
      <w:r>
        <w:t xml:space="preserve">We developed localized talent databases for each Saint Petersburg district, tracking:</w:t>
      </w:r>
    </w:p>
    <w:p>
      <w:pPr>
        <w:numPr>
          <w:ilvl w:val="0"/>
          <w:numId w:val="1003"/>
        </w:numPr>
        <w:pStyle w:val="Compact"/>
      </w:pPr>
      <w:r>
        <w:t xml:space="preserve">Subject vacancy trends (e.g., high demand for German teachers in Vsevolozhsk district)</w:t>
      </w:r>
    </w:p>
    <w:p>
      <w:pPr>
        <w:numPr>
          <w:ilvl w:val="0"/>
          <w:numId w:val="1003"/>
        </w:numPr>
        <w:pStyle w:val="Compact"/>
      </w:pPr>
      <w:r>
        <w:t xml:space="preserve">Teacher migration patterns within the city</w:t>
      </w:r>
    </w:p>
    <w:p>
      <w:pPr>
        <w:numPr>
          <w:ilvl w:val="0"/>
          <w:numId w:val="1003"/>
        </w:numPr>
        <w:pStyle w:val="Compact"/>
      </w:pPr>
      <w:r>
        <w:t xml:space="preserve">Compliance with regional education ministry requirements</w:t>
      </w:r>
    </w:p>
    <w:p>
      <w:pPr>
        <w:pStyle w:val="FirstParagraph"/>
      </w:pPr>
      <w:r>
        <w:t xml:space="preserve">This enabled us to place 89% of secondary teachers within 14 days of school request—2.3x faster than industry average—significantly reducing administrative burden for Saint Petersburg schools.</w:t>
      </w:r>
    </w:p>
    <w:bookmarkEnd w:id="24"/>
    <w:bookmarkEnd w:id="25"/>
    <w:bookmarkStart w:id="26" w:name="Xa99b571dfd0e5711b551db25082c796765c89eb"/>
    <w:p>
      <w:pPr>
        <w:pStyle w:val="Heading2"/>
      </w:pPr>
      <w:r>
        <w:t xml:space="preserve">Challenges &amp; Solutions in the Russia Market</w:t>
      </w:r>
    </w:p>
    <w:p>
      <w:pPr>
        <w:pStyle w:val="FirstParagraph"/>
      </w:pPr>
      <w:r>
        <w:t xml:space="preserve">Despite strong growth, we navigated key challenges unique to Saint Petersburg:</w:t>
      </w:r>
    </w:p>
    <w:p>
      <w:pPr>
        <w:numPr>
          <w:ilvl w:val="0"/>
          <w:numId w:val="1004"/>
        </w:numPr>
        <w:pStyle w:val="Compact"/>
      </w:pPr>
      <w:r>
        <w:rPr>
          <w:bCs/>
          <w:b/>
        </w:rPr>
        <w:t xml:space="preserve">Regulatory Complexity:</w:t>
      </w:r>
      <w:r>
        <w:t xml:space="preserve"> </w:t>
      </w:r>
      <w:r>
        <w:t xml:space="preserve">Russian education regulations require school-specific authorization for foreign teachers. Our legal team streamlined this by creating a "Saint Petersburg Education Compliance Pack" reducing processing time from 60 to 18 days.</w:t>
      </w:r>
    </w:p>
    <w:p>
      <w:pPr>
        <w:numPr>
          <w:ilvl w:val="0"/>
          <w:numId w:val="1004"/>
        </w:numPr>
        <w:pStyle w:val="Compact"/>
      </w:pPr>
      <w:r>
        <w:rPr>
          <w:bCs/>
          <w:b/>
        </w:rPr>
        <w:t xml:space="preserve">Cultural Barriers:</w:t>
      </w:r>
      <w:r>
        <w:t xml:space="preserve"> </w:t>
      </w:r>
      <w:r>
        <w:t xml:space="preserve">Initial resistance from traditional schools toward international</w:t>
      </w:r>
      <w:r>
        <w:t xml:space="preserve"> </w:t>
      </w:r>
      <w:r>
        <w:rPr>
          <w:bCs/>
          <w:b/>
        </w:rPr>
        <w:t xml:space="preserve">Teacher Secondary</w:t>
      </w:r>
      <w:r>
        <w:t xml:space="preserve">. Solution: Partnering with the Saint Petersburg Teachers' Union to host cultural competency workshops, resulting in a 37% increase in school partnerships.</w:t>
      </w:r>
    </w:p>
    <w:p>
      <w:pPr>
        <w:numPr>
          <w:ilvl w:val="0"/>
          <w:numId w:val="1004"/>
        </w:numPr>
        <w:pStyle w:val="Compact"/>
      </w:pPr>
      <w:r>
        <w:rPr>
          <w:bCs/>
          <w:b/>
        </w:rPr>
        <w:t xml:space="preserve">Economic Pressures:</w:t>
      </w:r>
      <w:r>
        <w:t xml:space="preserve"> </w:t>
      </w:r>
      <w:r>
        <w:t xml:space="preserve">School budget constraints. Solution: Introducing tiered pricing (basic recruitment vs. full training package), with 68% of schools opting for combined services to maximize cost efficiency.</w:t>
      </w:r>
    </w:p>
    <w:bookmarkEnd w:id="26"/>
    <w:bookmarkStart w:id="27" w:name="future-outlook-strategic-focus"/>
    <w:p>
      <w:pPr>
        <w:pStyle w:val="Heading2"/>
      </w:pPr>
      <w:r>
        <w:t xml:space="preserve">Future Outlook &amp; Strategic Focus</w:t>
      </w:r>
    </w:p>
    <w:p>
      <w:pPr>
        <w:pStyle w:val="FirstParagraph"/>
      </w:pPr>
      <w:r>
        <w:t xml:space="preserve">For Q3-Q4 2024, we are expanding our</w:t>
      </w:r>
      <w:r>
        <w:t xml:space="preserve"> </w:t>
      </w:r>
      <w:r>
        <w:rPr>
          <w:bCs/>
          <w:b/>
        </w:rPr>
        <w:t xml:space="preserve">Teacher Secondary</w:t>
      </w:r>
      <w:r>
        <w:t xml:space="preserve"> </w:t>
      </w:r>
      <w:r>
        <w:t xml:space="preserve">offerings with two critical initiatives:</w:t>
      </w:r>
    </w:p>
    <w:p>
      <w:pPr>
        <w:numPr>
          <w:ilvl w:val="0"/>
          <w:numId w:val="1005"/>
        </w:numPr>
        <w:pStyle w:val="Compact"/>
      </w:pPr>
      <w:r>
        <w:rPr>
          <w:bCs/>
          <w:b/>
        </w:rPr>
        <w:t xml:space="preserve">Saint Petersburg STEM Talent Hub:</w:t>
      </w:r>
      <w:r>
        <w:t xml:space="preserve"> </w:t>
      </w:r>
      <w:r>
        <w:t xml:space="preserve">Collaboration with Peterhof State University to create a pipeline of Russian-qualified secondary STEM teachers through scholarships and mentorship, targeting 100 placements by December 2024.</w:t>
      </w:r>
    </w:p>
    <w:p>
      <w:pPr>
        <w:numPr>
          <w:ilvl w:val="0"/>
          <w:numId w:val="1005"/>
        </w:numPr>
        <w:pStyle w:val="Compact"/>
      </w:pPr>
      <w:r>
        <w:rPr>
          <w:bCs/>
          <w:b/>
        </w:rPr>
        <w:t xml:space="preserve">Inclusive Education Accelerator:</w:t>
      </w:r>
      <w:r>
        <w:t xml:space="preserve"> </w:t>
      </w:r>
      <w:r>
        <w:t xml:space="preserve">Training program for secondary teachers on supporting students with disabilities (addressing the city's 35% rise in inclusive education requests), aligning with Saint Petersburg's new educational equity policy.</w:t>
      </w:r>
    </w:p>
    <w:p>
      <w:pPr>
        <w:pStyle w:val="FirstParagraph"/>
      </w:pPr>
      <w:r>
        <w:t xml:space="preserve">The regional government has allocated an additional ₽2.1 billion to teacher development in Saint Petersburg for 2025, directly supporting our growth trajectory. We project 45-50% annual revenue growth for</w:t>
      </w:r>
      <w:r>
        <w:t xml:space="preserve"> </w:t>
      </w:r>
      <w:r>
        <w:rPr>
          <w:bCs/>
          <w:b/>
        </w:rPr>
        <w:t xml:space="preserve">Teacher Secondary</w:t>
      </w:r>
      <w:r>
        <w:t xml:space="preserve"> </w:t>
      </w:r>
      <w:r>
        <w:t xml:space="preserve">services through the end of 2024, solidifying EduSolutions as the premier partner for educational talent management in Russia's second-largest city.</w:t>
      </w:r>
    </w:p>
    <w:bookmarkEnd w:id="27"/>
    <w:bookmarkStart w:id="28" w:name="conclusion"/>
    <w:p>
      <w:pPr>
        <w:pStyle w:val="Heading2"/>
      </w:pPr>
      <w:r>
        <w:t xml:space="preserve">Conclusion</w:t>
      </w:r>
    </w:p>
    <w:p>
      <w:pPr>
        <w:pStyle w:val="FirstParagraph"/>
      </w:pPr>
      <w:r>
        <w:t xml:space="preserve">Saint Petersburg represents a high-potential market where strategic localization of our</w:t>
      </w:r>
      <w:r>
        <w:t xml:space="preserve"> </w:t>
      </w:r>
      <w:r>
        <w:rPr>
          <w:bCs/>
          <w:b/>
        </w:rPr>
        <w:t xml:space="preserve">Teacher Secondary</w:t>
      </w:r>
      <w:r>
        <w:t xml:space="preserve"> </w:t>
      </w:r>
      <w:r>
        <w:t xml:space="preserve">services has driven exceptional growth. By embedding ourselves within the city's educational ecosystem—understanding regional curriculum demands, regulatory frameworks, and cultural nuances—we've transformed from a service provider to an indispensable partner for Saint Petersburg schools. As Russia's education sector prioritizes quality secondary teaching, EduSolutions is positioned not just to meet demand but to shape the future of</w:t>
      </w:r>
      <w:r>
        <w:t xml:space="preserve"> </w:t>
      </w:r>
      <w:r>
        <w:rPr>
          <w:bCs/>
          <w:b/>
        </w:rPr>
        <w:t xml:space="preserve">Teacher Secondary</w:t>
      </w:r>
      <w:r>
        <w:t xml:space="preserve"> </w:t>
      </w:r>
      <w:r>
        <w:t xml:space="preserve">excellence across the city. Our success underscores that when services are tailored precisely for</w:t>
      </w:r>
      <w:r>
        <w:t xml:space="preserve"> </w:t>
      </w:r>
      <w:r>
        <w:rPr>
          <w:bCs/>
          <w:b/>
        </w:rPr>
        <w:t xml:space="preserve">Russia Saint Petersburg</w:t>
      </w:r>
      <w:r>
        <w:t xml:space="preserve">'s unique educational landscape, sustainable growth becomes inevitable.</w:t>
      </w:r>
    </w:p>
    <w:p>
      <w:pPr>
        <w:pStyle w:val="BodyText"/>
      </w:pPr>
      <w:r>
        <w:rPr>
          <w:bCs/>
          <w:b/>
        </w:rPr>
        <w:t xml:space="preserve">EduSolutions Education Partners</w:t>
      </w:r>
    </w:p>
    <w:p>
      <w:pPr>
        <w:pStyle w:val="BodyText"/>
      </w:pPr>
      <w:r>
        <w:t xml:space="preserve">St. Petersburg Regional Office | +7 (812) 456-7890 | info@edusolutions.ru</w:t>
      </w:r>
    </w:p>
    <w:p>
      <w:pPr>
        <w:pStyle w:val="BodyText"/>
      </w:pPr>
      <w:r>
        <w:t xml:space="preserve">Date: February 15,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Secondary Teacher Recruitment &amp; Training Services - Saint Petersburg, Russia</dc:title>
  <dc:creator/>
  <dc:language>en</dc:language>
  <cp:keywords/>
  <dcterms:created xsi:type="dcterms:W3CDTF">2026-07-24T16:55:36Z</dcterms:created>
  <dcterms:modified xsi:type="dcterms:W3CDTF">2026-07-24T16:55:36Z</dcterms:modified>
</cp:coreProperties>
</file>

<file path=docProps/custom.xml><?xml version="1.0" encoding="utf-8"?>
<Properties xmlns="http://schemas.openxmlformats.org/officeDocument/2006/custom-properties" xmlns:vt="http://schemas.openxmlformats.org/officeDocument/2006/docPropsVTypes"/>
</file>