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Singapore</w:t>
      </w:r>
      <w:r>
        <w:t xml:space="preserve"> </w:t>
      </w:r>
      <w:r>
        <w:t xml:space="preserve">Singapore</w:t>
      </w:r>
    </w:p>
    <w:bookmarkStart w:id="28" w:name="Xaf5cd20d13bf5a3197de86fedf2640e9df72a2f"/>
    <w:p>
      <w:pPr>
        <w:pStyle w:val="Heading1"/>
      </w:pPr>
      <w:r>
        <w:t xml:space="preserve">Comprehensive Sales Report: Teacher Secondary Program Implementation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Singapore</w:t>
      </w:r>
      <w:r>
        <w:br/>
      </w:r>
      <w:r>
        <w:rPr>
          <w:bCs/>
          <w:b/>
        </w:rPr>
        <w:t xml:space="preserve">Prepared By:</w:t>
      </w:r>
      <w:r>
        <w:t xml:space="preserve"> </w:t>
      </w:r>
      <w:r>
        <w:t xml:space="preserve">Educational Solutions Asia Pacific Division</w:t>
      </w:r>
    </w:p>
    <w:bookmarkStart w:id="20" w:name="i.-executive-summary"/>
    <w:p>
      <w:pPr>
        <w:pStyle w:val="Heading2"/>
      </w:pPr>
      <w:r>
        <w:t xml:space="preserve">I. Executive Summary</w:t>
      </w:r>
    </w:p>
    <w:p>
      <w:pPr>
        <w:pStyle w:val="FirstParagraph"/>
      </w:pPr>
      <w:r>
        <w:t xml:space="preserve">This Sales Report details the performance and strategic impact of our Teacher Secondary Program across Singapore's educational ecosystem. The initiative, specifically designed for secondary school educators within Singapore Singapore, has demonstrated exceptional traction since its launch in Q1 2023. Our sales pipeline confirms a 147% year-over-year increase in licensed institutions implementing our curriculum enhancement tools, directly addressing critical needs identified by the Ministry of Education's 2022 Teacher Development Framework. This report validates how our</w:t>
      </w:r>
      <w:r>
        <w:t xml:space="preserve"> </w:t>
      </w:r>
      <w:r>
        <w:rPr>
          <w:iCs/>
          <w:i/>
        </w:rPr>
        <w:t xml:space="preserve">Teacher Secondary</w:t>
      </w:r>
      <w:r>
        <w:t xml:space="preserve"> </w:t>
      </w:r>
      <w:r>
        <w:t xml:space="preserve">solution has become indispensable for Singaporean schools navigating the ASEAN educational landscape.</w:t>
      </w:r>
    </w:p>
    <w:bookmarkEnd w:id="20"/>
    <w:bookmarkStart w:id="21" w:name="X6484814d00d6bcd71930bd444a6a140f4c864b2"/>
    <w:p>
      <w:pPr>
        <w:pStyle w:val="Heading2"/>
      </w:pPr>
      <w:r>
        <w:t xml:space="preserve">II. Sales Performance Overview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License Agreements Secured (Secondary Schools)</w:t>
            </w:r>
          </w:p>
        </w:tc>
        <w:tc>
          <w:tcPr/>
          <w:p>
            <w:pPr>
              <w:pStyle w:val="Compact"/>
              <w:jc w:val="left"/>
            </w:pPr>
            <w:r>
              <w:t xml:space="preserve">47</w:t>
            </w:r>
          </w:p>
        </w:tc>
        <w:tc>
          <w:tcPr/>
          <w:p>
            <w:pPr>
              <w:pStyle w:val="Compact"/>
              <w:jc w:val="left"/>
            </w:pPr>
            <w:r>
              <w:t xml:space="preserve">118</w:t>
            </w:r>
          </w:p>
        </w:tc>
        <w:tc>
          <w:tcPr/>
          <w:p>
            <w:pPr>
              <w:pStyle w:val="Compact"/>
              <w:jc w:val="left"/>
            </w:pPr>
            <w:r>
              <w:t xml:space="preserve">+150%</w:t>
            </w:r>
          </w:p>
        </w:tc>
      </w:tr>
      <w:tr>
        <w:tc>
          <w:tcPr/>
          <w:p>
            <w:pPr>
              <w:pStyle w:val="Compact"/>
              <w:jc w:val="left"/>
            </w:pPr>
            <w:r>
              <w:t xml:space="preserve">Total Revenue Generated</w:t>
            </w:r>
          </w:p>
        </w:tc>
        <w:tc>
          <w:tcPr/>
          <w:p>
            <w:pPr>
              <w:pStyle w:val="Compact"/>
              <w:jc w:val="left"/>
            </w:pPr>
            <w:r>
              <w:t xml:space="preserve">S$ 2.3M</w:t>
            </w:r>
          </w:p>
        </w:tc>
        <w:tc>
          <w:tcPr/>
          <w:p>
            <w:pPr>
              <w:pStyle w:val="Compact"/>
              <w:jc w:val="left"/>
            </w:pPr>
            <w:r>
              <w:t xml:space="preserve">S$ 5.8M</w:t>
            </w:r>
          </w:p>
        </w:tc>
        <w:tc>
          <w:tcPr/>
          <w:p>
            <w:pPr>
              <w:pStyle w:val="Compact"/>
              <w:jc w:val="left"/>
            </w:pPr>
            <w:r>
              <w:t xml:space="preserve">+152%</w:t>
            </w:r>
          </w:p>
        </w:tc>
      </w:tr>
      <w:tr>
        <w:tc>
          <w:tcPr/>
          <w:p>
            <w:pPr>
              <w:pStyle w:val="Compact"/>
              <w:jc w:val="left"/>
            </w:pPr>
            <w:r>
              <w:t xml:space="preserve">Teacher Adoption Rate</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bl>
    <w:p>
      <w:pPr>
        <w:pStyle w:val="BodyText"/>
      </w:pPr>
      <w:r>
        <w:t xml:space="preserve">The remarkable growth trajectory underscores Singapore Singapore's urgent need for specialized secondary teacher solutions. Notably, 100% of our new contracts in Q3 came from schools implementing the National Education Policy's "Future-Ready Educator" mandate – a direct alignment with our Teacher Secondary program design.</w:t>
      </w:r>
    </w:p>
    <w:bookmarkEnd w:id="21"/>
    <w:bookmarkStart w:id="22" w:name="X92c415367c5c0786475cfc1e64e9ab2c73114c6"/>
    <w:p>
      <w:pPr>
        <w:pStyle w:val="Heading2"/>
      </w:pPr>
      <w:r>
        <w:t xml:space="preserve">III. Market Analysis: Singapore's Secondary Education Landscape</w:t>
      </w:r>
    </w:p>
    <w:p>
      <w:pPr>
        <w:pStyle w:val="FirstParagraph"/>
      </w:pPr>
      <w:r>
        <w:t xml:space="preserve">Singapore Singapore maintains its global standing as an education leader, yet faces unique challenges in secondary teacher development. The Ministry of Education's 2023 Teacher Supply Survey revealed:</w:t>
      </w:r>
    </w:p>
    <w:p>
      <w:pPr>
        <w:numPr>
          <w:ilvl w:val="0"/>
          <w:numId w:val="1001"/>
        </w:numPr>
        <w:pStyle w:val="Compact"/>
      </w:pPr>
      <w:r>
        <w:t xml:space="preserve">73% of secondary principals cite "specialized pedagogical tools for subject-specific instruction" as critical gap</w:t>
      </w:r>
    </w:p>
    <w:p>
      <w:pPr>
        <w:numPr>
          <w:ilvl w:val="0"/>
          <w:numId w:val="1001"/>
        </w:numPr>
        <w:pStyle w:val="Compact"/>
      </w:pPr>
      <w:r>
        <w:t xml:space="preserve">Teacher attrition rates increased by 18% in STEM secondary disciplines (MOE, 2023)</w:t>
      </w:r>
    </w:p>
    <w:p>
      <w:pPr>
        <w:numPr>
          <w:ilvl w:val="0"/>
          <w:numId w:val="1001"/>
        </w:numPr>
        <w:pStyle w:val="Compact"/>
      </w:pPr>
      <w:r>
        <w:t xml:space="preserve">92% of schools demand digital solutions compliant with Singapore's Personal Data Protection Act (PDPA)</w:t>
      </w:r>
    </w:p>
    <w:p>
      <w:pPr>
        <w:pStyle w:val="FirstParagraph"/>
      </w:pPr>
      <w:r>
        <w:t xml:space="preserve">This Sales Report confirms our Teacher Secondary program directly addresses these pain points. Our platform integrates seamlessly with Singapore's Edusave system and meets the Ministry's strict security protocols – a key differentiator in Singapore Singapore where data compliance is non-negotiable.</w:t>
      </w:r>
    </w:p>
    <w:bookmarkEnd w:id="22"/>
    <w:bookmarkStart w:id="23" w:name="X087399a520f72a120b9048012ec18209273f98f"/>
    <w:p>
      <w:pPr>
        <w:pStyle w:val="Heading2"/>
      </w:pPr>
      <w:r>
        <w:t xml:space="preserve">IV. Key Achievement: Alignment with National Education Priorities</w:t>
      </w:r>
    </w:p>
    <w:p>
      <w:pPr>
        <w:pStyle w:val="FirstParagraph"/>
      </w:pPr>
      <w:r>
        <w:t xml:space="preserve">Our most significant sales milestone was securing the Ministry-wide rollout agreement for 156 secondary schools (including all 39 autonomous schools) during Q3. This wasn't achieved through traditional sales tactics but through strategic alignment with Singapore Singapore's national vision:</w:t>
      </w:r>
    </w:p>
    <w:p>
      <w:pPr>
        <w:numPr>
          <w:ilvl w:val="0"/>
          <w:numId w:val="1002"/>
        </w:numPr>
        <w:pStyle w:val="Compact"/>
      </w:pPr>
      <w:r>
        <w:rPr>
          <w:bCs/>
          <w:b/>
        </w:rPr>
        <w:t xml:space="preserve">National Curriculum Integration:</w:t>
      </w:r>
      <w:r>
        <w:t xml:space="preserve"> </w:t>
      </w:r>
      <w:r>
        <w:t xml:space="preserve">Our Teacher Secondary modules map directly to MOE's 2024 Secondary Education Blueprint, particularly the "Personalised Learning Pathways" initiative</w:t>
      </w:r>
    </w:p>
    <w:p>
      <w:pPr>
        <w:numPr>
          <w:ilvl w:val="0"/>
          <w:numId w:val="1002"/>
        </w:numPr>
        <w:pStyle w:val="Compact"/>
      </w:pPr>
      <w:r>
        <w:rPr>
          <w:bCs/>
          <w:b/>
        </w:rPr>
        <w:t xml:space="preserve">Skills Future Credit Compatibility:</w:t>
      </w:r>
      <w:r>
        <w:t xml:space="preserve"> </w:t>
      </w:r>
      <w:r>
        <w:t xml:space="preserve">All teacher training components are approved for SkillsFuture credits, accelerating adoption in Singapore Singapore's lifelong learning ecosystem</w:t>
      </w:r>
    </w:p>
    <w:p>
      <w:pPr>
        <w:numPr>
          <w:ilvl w:val="0"/>
          <w:numId w:val="1002"/>
        </w:numPr>
        <w:pStyle w:val="Compact"/>
      </w:pPr>
      <w:r>
        <w:rPr>
          <w:bCs/>
          <w:b/>
        </w:rPr>
        <w:t xml:space="preserve">Singaporean Content Localization:</w:t>
      </w:r>
      <w:r>
        <w:t xml:space="preserve"> </w:t>
      </w:r>
      <w:r>
        <w:t xml:space="preserve">100% of case studies and teaching resources reflect local contexts (e.g., Singlish communication strategies, Singapore history integration)</w:t>
      </w:r>
    </w:p>
    <w:bookmarkEnd w:id="23"/>
    <w:bookmarkStart w:id="24" w:name="X62db52abb544a09aae86be17baf63a3f865d593"/>
    <w:p>
      <w:pPr>
        <w:pStyle w:val="Heading2"/>
      </w:pPr>
      <w:r>
        <w:t xml:space="preserve">V. Client Success Metrics in Singapore Singapore</w:t>
      </w:r>
    </w:p>
    <w:p>
      <w:pPr>
        <w:pStyle w:val="FirstParagraph"/>
      </w:pPr>
      <w:r>
        <w:t xml:space="preserve">Analysis of 87 schools using our Teacher Secondary program reveals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Pre-Implementation (Avg.)</w:t>
            </w:r>
          </w:p>
        </w:tc>
        <w:tc>
          <w:tcPr/>
          <w:p>
            <w:pPr>
              <w:pStyle w:val="Compact"/>
              <w:jc w:val="left"/>
            </w:pPr>
            <w:r>
              <w:t xml:space="preserve">Post-Implementation (Avg.)</w:t>
            </w:r>
          </w:p>
        </w:tc>
      </w:tr>
      <w:tr>
        <w:tc>
          <w:tcPr/>
          <w:p>
            <w:pPr>
              <w:pStyle w:val="Compact"/>
              <w:jc w:val="left"/>
            </w:pPr>
            <w:r>
              <w:t xml:space="preserve">Teacher Confidence in Tech Integration</w:t>
            </w:r>
          </w:p>
        </w:tc>
        <w:tc>
          <w:tcPr/>
          <w:p>
            <w:pPr>
              <w:pStyle w:val="Compact"/>
              <w:jc w:val="left"/>
            </w:pPr>
            <w:r>
              <w:t xml:space="preserve">5.2/10</w:t>
            </w:r>
          </w:p>
        </w:tc>
        <w:tc>
          <w:tcPr/>
          <w:p>
            <w:pPr>
              <w:pStyle w:val="Compact"/>
              <w:jc w:val="left"/>
            </w:pPr>
            <w:r>
              <w:t xml:space="preserve">8.7/10</w:t>
            </w:r>
          </w:p>
        </w:tc>
      </w:tr>
      <w:tr>
        <w:tc>
          <w:tcPr/>
          <w:p>
            <w:pPr>
              <w:pStyle w:val="Compact"/>
              <w:jc w:val="left"/>
            </w:pPr>
            <w:r>
              <w:t xml:space="preserve">Student Engagement in Secondary Classrooms</w:t>
            </w:r>
          </w:p>
        </w:tc>
        <w:tc>
          <w:tcPr/>
          <w:p>
            <w:pPr>
              <w:pStyle w:val="Compact"/>
              <w:jc w:val="left"/>
            </w:pPr>
            <w:r>
              <w:t xml:space="preserve">64%</w:t>
            </w:r>
          </w:p>
        </w:tc>
        <w:tc>
          <w:tcPr/>
          <w:p>
            <w:pPr>
              <w:pStyle w:val="Compact"/>
              <w:jc w:val="left"/>
            </w:pPr>
            <w:r>
              <w:t xml:space="preserve">89%</w:t>
            </w:r>
          </w:p>
        </w:tc>
      </w:tr>
      <w:tr>
        <w:tc>
          <w:tcPr/>
          <w:p>
            <w:pPr>
              <w:pStyle w:val="Compact"/>
              <w:jc w:val="left"/>
            </w:pPr>
            <w:r>
              <w:t xml:space="preserve">Digital Lesson Planning Efficiency</w:t>
            </w:r>
          </w:p>
        </w:tc>
        <w:tc>
          <w:tcPr/>
          <w:p>
            <w:pPr>
              <w:pStyle w:val="Compact"/>
              <w:jc w:val="left"/>
            </w:pPr>
            <w:r>
              <w:t xml:space="preserve">4.3 hrs/week</w:t>
            </w:r>
          </w:p>
        </w:tc>
        <w:tc>
          <w:tcPr/>
          <w:p>
            <w:pPr>
              <w:pStyle w:val="Compact"/>
              <w:jc w:val="left"/>
            </w:pPr>
            <w:r>
              <w:t xml:space="preserve">1.1 hrs/week</w:t>
            </w:r>
          </w:p>
        </w:tc>
      </w:tr>
    </w:tbl>
    <w:p>
      <w:pPr>
        <w:pStyle w:val="BodyText"/>
      </w:pPr>
      <w:r>
        <w:t xml:space="preserve">A case study from Raffles Girls' Secondary School (Singapore Singapore) demonstrated a 28% reduction in teacher burnout rates after implementing our Teacher Secondary mentorship modules – directly supporting MOE's "Wellbeing First" initiative.</w:t>
      </w:r>
    </w:p>
    <w:bookmarkEnd w:id="24"/>
    <w:bookmarkStart w:id="25" w:name="vi.-strategic-challenges-and-solutions"/>
    <w:p>
      <w:pPr>
        <w:pStyle w:val="Heading2"/>
      </w:pPr>
      <w:r>
        <w:t xml:space="preserve">VI. Strategic Challenges and Solutions</w:t>
      </w:r>
    </w:p>
    <w:p>
      <w:pPr>
        <w:pStyle w:val="FirstParagraph"/>
      </w:pPr>
      <w:r>
        <w:t xml:space="preserve">Despite strong adoption, two critical challenges emerged in Singapore Singapore's market:</w:t>
      </w:r>
    </w:p>
    <w:p>
      <w:pPr>
        <w:numPr>
          <w:ilvl w:val="0"/>
          <w:numId w:val="1003"/>
        </w:numPr>
        <w:pStyle w:val="Compact"/>
      </w:pPr>
      <w:r>
        <w:rPr>
          <w:bCs/>
          <w:b/>
        </w:rPr>
        <w:t xml:space="preserve">Cultural Adaptation Barrier:</w:t>
      </w:r>
      <w:r>
        <w:t xml:space="preserve"> </w:t>
      </w:r>
      <w:r>
        <w:t xml:space="preserve">Initially, teachers resisted "foreign" pedagogical models. Our solution: Co-created all training materials with MOE-certified educators across 12 Singapore secondary schools during beta testing. This localized approach drove adoption by 43% within 60 days.</w:t>
      </w:r>
    </w:p>
    <w:p>
      <w:pPr>
        <w:numPr>
          <w:ilvl w:val="0"/>
          <w:numId w:val="1003"/>
        </w:numPr>
        <w:pStyle w:val="Compact"/>
      </w:pPr>
      <w:r>
        <w:rPr>
          <w:bCs/>
          <w:b/>
        </w:rPr>
        <w:t xml:space="preserve">Infrastructure Constraints:</w:t>
      </w:r>
      <w:r>
        <w:t xml:space="preserve"> </w:t>
      </w:r>
      <w:r>
        <w:t xml:space="preserve">Some under-resourced schools (notably in the Jurong West cluster) struggled with implementation. Our response: Deployed Singapore-specific "Tech Support Ambassadors" – former secondary teachers who understand local school dynamics and receive MOE certification for on-site assistance.</w:t>
      </w:r>
    </w:p>
    <w:bookmarkEnd w:id="25"/>
    <w:bookmarkStart w:id="26" w:name="Xcb3c29aff1e3550f5be1c8e6dc752faf22e6c2a"/>
    <w:p>
      <w:pPr>
        <w:pStyle w:val="Heading2"/>
      </w:pPr>
      <w:r>
        <w:t xml:space="preserve">VII. Future Growth Strategy for Teacher Secondary Market</w:t>
      </w:r>
    </w:p>
    <w:p>
      <w:pPr>
        <w:pStyle w:val="FirstParagraph"/>
      </w:pPr>
      <w:r>
        <w:t xml:space="preserve">Building on this Sales Report's success, our Singapore Singapore growth roadmap focuses on:</w:t>
      </w:r>
    </w:p>
    <w:p>
      <w:pPr>
        <w:numPr>
          <w:ilvl w:val="0"/>
          <w:numId w:val="1004"/>
        </w:numPr>
        <w:pStyle w:val="Compact"/>
      </w:pPr>
      <w:r>
        <w:rPr>
          <w:bCs/>
          <w:b/>
        </w:rPr>
        <w:t xml:space="preserve">Expansion into New Territories:</w:t>
      </w:r>
      <w:r>
        <w:t xml:space="preserve"> </w:t>
      </w:r>
      <w:r>
        <w:t xml:space="preserve">Targeting 50 additional secondary schools in the upcoming Punggol and Tengah new towns through partnerships with Housing &amp; Development Board (HDB) communities</w:t>
      </w:r>
    </w:p>
    <w:p>
      <w:pPr>
        <w:numPr>
          <w:ilvl w:val="0"/>
          <w:numId w:val="1004"/>
        </w:numPr>
        <w:pStyle w:val="Compact"/>
      </w:pPr>
      <w:r>
        <w:rPr>
          <w:bCs/>
          <w:b/>
        </w:rPr>
        <w:t xml:space="preserve">Premium Tier Development:</w:t>
      </w:r>
      <w:r>
        <w:t xml:space="preserve"> </w:t>
      </w:r>
      <w:r>
        <w:t xml:space="preserve">Launching "Teacher Secondary Advanced" package targeting MOE's Top 10 schools, featuring AI-driven personalized coaching aligned with Singapore's Global Talent Pipeline initiative</w:t>
      </w:r>
    </w:p>
    <w:p>
      <w:pPr>
        <w:numPr>
          <w:ilvl w:val="0"/>
          <w:numId w:val="1004"/>
        </w:numPr>
        <w:pStyle w:val="Compact"/>
      </w:pPr>
      <w:r>
        <w:rPr>
          <w:bCs/>
          <w:b/>
        </w:rPr>
        <w:t xml:space="preserve">Sustainability Integration:</w:t>
      </w:r>
      <w:r>
        <w:t xml:space="preserve"> </w:t>
      </w:r>
      <w:r>
        <w:t xml:space="preserve">Embedding UN SDG 4 (Quality Education) metrics into our Teacher Secondary program to meet Singapore Singapore's Green Plan 2030 commitments</w:t>
      </w:r>
    </w:p>
    <w:bookmarkEnd w:id="26"/>
    <w:bookmarkStart w:id="27" w:name="Xf0c3096f000918037a71f83dbf0ca059ee5604e"/>
    <w:p>
      <w:pPr>
        <w:pStyle w:val="Heading2"/>
      </w:pPr>
      <w:r>
        <w:t xml:space="preserve">VIII. Conclusion: The Future of Teacher Secondary in Singapore Singapore</w:t>
      </w:r>
    </w:p>
    <w:p>
      <w:pPr>
        <w:pStyle w:val="FirstParagraph"/>
      </w:pPr>
      <w:r>
        <w:t xml:space="preserve">This Sales Report conclusively demonstrates that our Teacher Secondary program has evolved from a product into an essential national education enabler within Singapore Singapore. With 94% of schools reporting measurable improvements in teacher effectiveness and student outcomes, we've surpassed all sales targets for the fiscal year. The Ministry of Education's recent approval to integrate our platform with the new National Education Data Hub (NEDH) confirms our strategic positioning as the premier solution for secondary educators in Singapore Singapore.</w:t>
      </w:r>
    </w:p>
    <w:p>
      <w:pPr>
        <w:pStyle w:val="BodyText"/>
      </w:pPr>
      <w:r>
        <w:t xml:space="preserve">As Singapore continues its journey toward becoming a "Global Talent Hub," investing in teacher development remains paramount. Our Teacher Secondary program – meticulously designed, locally validated, and relentlessly focused on Singapore's educational priorities – is not merely meeting market demands; it is actively shaping the future of secondary education in Singapore Singapore. We project 200+ new school contracts by Q2 2024, directly supporting MOE's goal of enhancing teacher quality across all secondary institutions.</w:t>
      </w:r>
    </w:p>
    <w:p>
      <w:pPr>
        <w:pStyle w:val="BodyText"/>
      </w:pPr>
      <w:r>
        <w:rPr>
          <w:bCs/>
          <w:b/>
        </w:rPr>
        <w:t xml:space="preserve">Appendix:</w:t>
      </w:r>
      <w:r>
        <w:t xml:space="preserve"> </w:t>
      </w:r>
      <w:r>
        <w:t xml:space="preserve">All sales data verified against Ministry of Education's official school enrollment and program compliance databases in Singapore Singapore. Implementation metrics align with the 11th National Development Plan (NDP) educational targets.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Program in Singapore Singapore</dc:title>
  <dc:creator/>
  <dc:language>en</dc:language>
  <cp:keywords/>
  <dcterms:created xsi:type="dcterms:W3CDTF">2026-07-23T15:40:42Z</dcterms:created>
  <dcterms:modified xsi:type="dcterms:W3CDTF">2026-07-23T15:40:42Z</dcterms:modified>
</cp:coreProperties>
</file>

<file path=docProps/custom.xml><?xml version="1.0" encoding="utf-8"?>
<Properties xmlns="http://schemas.openxmlformats.org/officeDocument/2006/custom-properties" xmlns:vt="http://schemas.openxmlformats.org/officeDocument/2006/docPropsVTypes"/>
</file>