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Valencia,</w:t>
      </w:r>
      <w:r>
        <w:t xml:space="preserve"> </w:t>
      </w:r>
      <w:r>
        <w:t xml:space="preserve">Spain</w:t>
      </w:r>
    </w:p>
    <w:bookmarkStart w:id="34" w:name="X045012bfa659e9c216687c76ae86309db61f6b9"/>
    <w:p>
      <w:pPr>
        <w:pStyle w:val="Heading1"/>
      </w:pPr>
      <w:r>
        <w:t xml:space="preserve">Comprehensive Sales Report: Secondary Teacher Recruitment in Valencia, Spain (Q3 2023)</w:t>
      </w:r>
    </w:p>
    <w:p>
      <w:pPr>
        <w:pStyle w:val="FirstParagraph"/>
      </w:pPr>
      <w:r>
        <w:rPr>
          <w:bCs/>
          <w:b/>
        </w:rPr>
        <w:t xml:space="preserve">Prepared For:</w:t>
      </w:r>
      <w:r>
        <w:t xml:space="preserve"> </w:t>
      </w:r>
      <w:r>
        <w:t xml:space="preserve">Valencia Regional Education Authority &amp; Spanish Ministry of Education</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recruitment performance for secondary school teaching positions across the Valencia region, Spain. During Q3 2023, we successfully filled 187 Teacher Secondary vacancies across 145 public and private institutions within Spain Valencia. This represents a 32% year-over-year increase in placements, exceeding our target by 19%. The report analyzes market dynamics, strategic initiatives, and future opportunities for Teacher Secondary recruitment in this critical educational sector.</w:t>
      </w:r>
    </w:p>
    <w:bookmarkEnd w:id="20"/>
    <w:bookmarkStart w:id="21" w:name="Xed5c13c9d01508d5a2d4b250ac12d234239c6e2"/>
    <w:p>
      <w:pPr>
        <w:pStyle w:val="Heading2"/>
      </w:pPr>
      <w:r>
        <w:t xml:space="preserve">II. Market Context: Secondary Education Demand in Spain Valencia</w:t>
      </w:r>
    </w:p>
    <w:p>
      <w:pPr>
        <w:pStyle w:val="FirstParagraph"/>
      </w:pPr>
      <w:r>
        <w:t xml:space="preserve">Valencia's secondary education system serves over 350,000 students across 786 institutions, with a growing demand for specialized Teacher Secondary professionals due to:</w:t>
      </w:r>
    </w:p>
    <w:p>
      <w:pPr>
        <w:numPr>
          <w:ilvl w:val="0"/>
          <w:numId w:val="1001"/>
        </w:numPr>
        <w:pStyle w:val="Compact"/>
      </w:pPr>
      <w:r>
        <w:t xml:space="preserve">Demographic shifts increasing student enrollment by 4.7% YoY</w:t>
      </w:r>
    </w:p>
    <w:p>
      <w:pPr>
        <w:numPr>
          <w:ilvl w:val="0"/>
          <w:numId w:val="1001"/>
        </w:numPr>
        <w:pStyle w:val="Compact"/>
      </w:pPr>
      <w:r>
        <w:t xml:space="preserve">New curriculum reforms requiring STEM and digital literacy specialists</w:t>
      </w:r>
    </w:p>
    <w:p>
      <w:pPr>
        <w:numPr>
          <w:ilvl w:val="0"/>
          <w:numId w:val="1001"/>
        </w:numPr>
        <w:pStyle w:val="Compact"/>
      </w:pPr>
      <w:r>
        <w:t xml:space="preserve">Regional government initiatives like "Valencia Educates 2030" prioritizing secondary teacher quality</w:t>
      </w:r>
    </w:p>
    <w:p>
      <w:pPr>
        <w:pStyle w:val="FirstParagraph"/>
      </w:pPr>
      <w:r>
        <w:t xml:space="preserve">The Spain Valencia market presents unique challenges including strong competition from Barcelona (18% higher salaries) and Madrid (25% more vacancies), necessitating tailored recruitment strategies for Teacher Secondary roles.</w:t>
      </w:r>
    </w:p>
    <w:bookmarkEnd w:id="21"/>
    <w:bookmarkStart w:id="22" w:name="iii.-recruitment-performance-metrics"/>
    <w:p>
      <w:pPr>
        <w:pStyle w:val="Heading2"/>
      </w:pPr>
      <w:r>
        <w:t xml:space="preserve">III. Recruitment Performance Metrics</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Vacancies Opened (Spain Valencia)</w:t>
      </w:r>
    </w:p>
    <w:p>
      <w:pPr>
        <w:pStyle w:val="BodyText"/>
      </w:pPr>
      <w:r>
        <w:t xml:space="preserve">215</w:t>
      </w:r>
    </w:p>
    <w:p>
      <w:pPr>
        <w:pStyle w:val="BodyText"/>
      </w:pPr>
      <w:r>
        <w:t xml:space="preserve">189</w:t>
      </w:r>
    </w:p>
    <w:p>
      <w:pPr>
        <w:pStyle w:val="BodyText"/>
      </w:pPr>
      <w:r>
        <w:t xml:space="preserve">+13.8%</w:t>
      </w:r>
    </w:p>
    <w:p>
      <w:pPr>
        <w:pStyle w:val="BodyText"/>
      </w:pPr>
      <w:r>
        <w:t xml:space="preserve">Positions Filled (Teacher Secondary)</w:t>
      </w:r>
    </w:p>
    <w:p>
      <w:pPr>
        <w:pStyle w:val="BodyText"/>
      </w:pPr>
      <w:r>
        <w:t xml:space="preserve">187</w:t>
      </w:r>
    </w:p>
    <w:p>
      <w:pPr>
        <w:pStyle w:val="BodyText"/>
      </w:pPr>
      <w:r>
        <w:t xml:space="preserve">Total Sales Value (€)</w:t>
      </w:r>
    </w:p>
    <w:p>
      <w:pPr>
        <w:pStyle w:val="BodyText"/>
      </w:pPr>
      <w:r>
        <w:t xml:space="preserve">2,456,000</w:t>
      </w:r>
    </w:p>
    <w:p>
      <w:pPr>
        <w:pStyle w:val="BodyText"/>
      </w:pPr>
      <w:r>
        <w:t xml:space="preserve">1,985,000</w:t>
      </w:r>
    </w:p>
    <w:p>
      <w:pPr>
        <w:pStyle w:val="BodyText"/>
      </w:pPr>
      <w:r>
        <w:t xml:space="preserve">+23.7%</w:t>
      </w:r>
    </w:p>
    <w:p>
      <w:pPr>
        <w:pStyle w:val="BodyText"/>
      </w:pPr>
      <w:r>
        <w:t xml:space="preserve">Average Time-to-Hire (Days)</w:t>
      </w:r>
    </w:p>
    <w:p>
      <w:pPr>
        <w:pStyle w:val="BodyText"/>
      </w:pPr>
      <w:r>
        <w:t xml:space="preserve">47</w:t>
      </w:r>
    </w:p>
    <w:p>
      <w:pPr>
        <w:pStyle w:val="BodyText"/>
      </w:pPr>
      <w:r>
        <w:t xml:space="preserve">63</w:t>
      </w:r>
    </w:p>
    <w:p>
      <w:pPr>
        <w:pStyle w:val="BodyText"/>
      </w:pPr>
      <w:r>
        <w:t xml:space="preserve">-25.4%</w:t>
      </w:r>
    </w:p>
    <w:bookmarkEnd w:id="22"/>
    <w:bookmarkStart w:id="26" w:name="X8270c94cd64e4e03d4fb25ff4217d4bf8b8dde4"/>
    <w:p>
      <w:pPr>
        <w:pStyle w:val="Heading2"/>
      </w:pPr>
      <w:r>
        <w:t xml:space="preserve">IV. Strategic Initiatives Driving Success in Spain Valencia</w:t>
      </w:r>
    </w:p>
    <w:p>
      <w:pPr>
        <w:pStyle w:val="FirstParagraph"/>
      </w:pPr>
      <w:r>
        <w:t xml:space="preserve">Our targeted approach for Teacher Secondary recruitment in Valencia included:</w:t>
      </w:r>
    </w:p>
    <w:bookmarkStart w:id="23" w:name="X3864571a693bcc2374d8a1f2d51faa6dcb7ea95"/>
    <w:p>
      <w:pPr>
        <w:pStyle w:val="Heading3"/>
      </w:pPr>
      <w:r>
        <w:t xml:space="preserve">A. Region-Specific Talent Acquisition Campaigns</w:t>
      </w:r>
    </w:p>
    <w:p>
      <w:pPr>
        <w:pStyle w:val="FirstParagraph"/>
      </w:pPr>
      <w:r>
        <w:t xml:space="preserve">Launched "Valencia Educates" digital campaign with localized messaging emphasizing:</w:t>
      </w:r>
    </w:p>
    <w:p>
      <w:pPr>
        <w:numPr>
          <w:ilvl w:val="0"/>
          <w:numId w:val="1002"/>
        </w:numPr>
        <w:pStyle w:val="Compact"/>
      </w:pPr>
      <w:r>
        <w:t xml:space="preserve">Cultural integration opportunities (e.g., "Teach in the Heart of Valencian Culture")</w:t>
      </w:r>
    </w:p>
    <w:p>
      <w:pPr>
        <w:numPr>
          <w:ilvl w:val="0"/>
          <w:numId w:val="1002"/>
        </w:numPr>
        <w:pStyle w:val="Compact"/>
      </w:pPr>
      <w:r>
        <w:t xml:space="preserve">School placements within 25km radius of Valencia city for commute convenience</w:t>
      </w:r>
    </w:p>
    <w:p>
      <w:pPr>
        <w:numPr>
          <w:ilvl w:val="0"/>
          <w:numId w:val="1002"/>
        </w:numPr>
        <w:pStyle w:val="Compact"/>
      </w:pPr>
      <w:r>
        <w:t xml:space="preserve">Language support for non-Catalan speakers through "Valencia Language Bridge" program</w:t>
      </w:r>
    </w:p>
    <w:bookmarkEnd w:id="23"/>
    <w:bookmarkStart w:id="24" w:name="Xaa9fa32681ebcd6f09b1d5a04333bf3001878c7"/>
    <w:p>
      <w:pPr>
        <w:pStyle w:val="Heading3"/>
      </w:pPr>
      <w:r>
        <w:t xml:space="preserve">B. Strategic Partnerships with Spanish Universities</w:t>
      </w:r>
    </w:p>
    <w:p>
      <w:pPr>
        <w:pStyle w:val="FirstParagraph"/>
      </w:pPr>
      <w:r>
        <w:t xml:space="preserve">Collaborated with 12 universities across Spain (including Universidad de Valencia and Universitat Politècnica de València) to create:</w:t>
      </w:r>
    </w:p>
    <w:p>
      <w:pPr>
        <w:numPr>
          <w:ilvl w:val="0"/>
          <w:numId w:val="1003"/>
        </w:numPr>
        <w:pStyle w:val="Compact"/>
      </w:pPr>
      <w:r>
        <w:t xml:space="preserve">Specialized Teacher Secondary internship pathways</w:t>
      </w:r>
    </w:p>
    <w:p>
      <w:pPr>
        <w:numPr>
          <w:ilvl w:val="0"/>
          <w:numId w:val="1003"/>
        </w:numPr>
        <w:pStyle w:val="Compact"/>
      </w:pPr>
      <w:r>
        <w:t xml:space="preserve">Certification programs for teaching Spanish as a second language</w:t>
      </w:r>
    </w:p>
    <w:p>
      <w:pPr>
        <w:numPr>
          <w:ilvl w:val="0"/>
          <w:numId w:val="1003"/>
        </w:numPr>
        <w:pStyle w:val="Compact"/>
      </w:pPr>
      <w:r>
        <w:t xml:space="preserve">Regional job fairs exclusively for secondary education candidates</w:t>
      </w:r>
    </w:p>
    <w:bookmarkEnd w:id="24"/>
    <w:bookmarkStart w:id="25" w:name="X0f17bf1bef6630ffb4d7ef592cb35c55c4197de"/>
    <w:p>
      <w:pPr>
        <w:pStyle w:val="Heading3"/>
      </w:pPr>
      <w:r>
        <w:t xml:space="preserve">C. Competitive Compensation Packages in Spain Valencia</w:t>
      </w:r>
    </w:p>
    <w:p>
      <w:pPr>
        <w:pStyle w:val="FirstParagraph"/>
      </w:pPr>
      <w:r>
        <w:t xml:space="preserve">Designed market-aligned packages addressing Valencia's cost-of-living factors:</w:t>
      </w:r>
    </w:p>
    <w:p>
      <w:pPr>
        <w:numPr>
          <w:ilvl w:val="0"/>
          <w:numId w:val="1004"/>
        </w:numPr>
        <w:pStyle w:val="Compact"/>
      </w:pPr>
      <w:r>
        <w:t xml:space="preserve">15% higher base salary than national average for Teacher Secondary roles (€28,500 vs. €24,800)</w:t>
      </w:r>
    </w:p>
    <w:p>
      <w:pPr>
        <w:numPr>
          <w:ilvl w:val="0"/>
          <w:numId w:val="1004"/>
        </w:numPr>
        <w:pStyle w:val="Compact"/>
      </w:pPr>
      <w:r>
        <w:t xml:space="preserve">Valencia-specific housing subsidies (€350/month) for teachers relocating from other regions</w:t>
      </w:r>
    </w:p>
    <w:p>
      <w:pPr>
        <w:numPr>
          <w:ilvl w:val="0"/>
          <w:numId w:val="1004"/>
        </w:numPr>
        <w:pStyle w:val="Compact"/>
      </w:pPr>
      <w:r>
        <w:t xml:space="preserve">Premiums for STEM and bilingual education specialists (+12%)</w:t>
      </w:r>
    </w:p>
    <w:bookmarkEnd w:id="25"/>
    <w:bookmarkEnd w:id="26"/>
    <w:bookmarkStart w:id="27" w:name="Xb1df1c8276afb1a5492566c0bac43edf49831c3"/>
    <w:p>
      <w:pPr>
        <w:pStyle w:val="Heading2"/>
      </w:pPr>
      <w:r>
        <w:t xml:space="preserve">V. Regional Performance Breakdown: Spain Valencia</w:t>
      </w:r>
    </w:p>
    <w:p>
      <w:pPr>
        <w:pStyle w:val="FirstParagraph"/>
      </w:pPr>
      <w:r>
        <w:t xml:space="preserve">Province</w:t>
      </w:r>
    </w:p>
    <w:p>
      <w:pPr>
        <w:pStyle w:val="BodyText"/>
      </w:pPr>
      <w:r>
        <w:t xml:space="preserve">Vacancies Filled</w:t>
      </w:r>
    </w:p>
    <w:p>
      <w:pPr>
        <w:pStyle w:val="BodyText"/>
      </w:pPr>
      <w:r>
        <w:t xml:space="preserve">Fill Rate</w:t>
      </w:r>
    </w:p>
    <w:p>
      <w:pPr>
        <w:pStyle w:val="BodyText"/>
      </w:pPr>
      <w:r>
        <w:t xml:space="preserve">Top Demand Areas (Teacher Secondary)</w:t>
      </w:r>
    </w:p>
    <w:p>
      <w:pPr>
        <w:pStyle w:val="BodyText"/>
      </w:pPr>
      <w:r>
        <w:t xml:space="preserve">Valencia (City)</w:t>
      </w:r>
    </w:p>
    <w:p>
      <w:pPr>
        <w:pStyle w:val="BodyText"/>
      </w:pPr>
      <w:r>
        <w:t xml:space="preserve">89</w:t>
      </w:r>
    </w:p>
    <w:p>
      <w:pPr>
        <w:pStyle w:val="BodyText"/>
      </w:pPr>
      <w:r>
        <w:t xml:space="preserve">92%</w:t>
      </w:r>
    </w:p>
    <w:p>
      <w:pPr>
        <w:pStyle w:val="BodyText"/>
      </w:pPr>
      <w:r>
        <w:t xml:space="preserve">Mechanics, Spanish Literature, Digital Education</w:t>
      </w:r>
    </w:p>
    <w:p>
      <w:pPr>
        <w:pStyle w:val="BodyText"/>
      </w:pPr>
      <w:r>
        <w:t xml:space="preserve">Alicante</w:t>
      </w:r>
    </w:p>
    <w:p>
      <w:pPr>
        <w:pStyle w:val="BodyText"/>
      </w:pPr>
      <w:r>
        <w:t xml:space="preserve">Castellón</w:t>
      </w:r>
    </w:p>
    <w:p>
      <w:pPr>
        <w:pStyle w:val="BodyText"/>
      </w:pPr>
      <w:r>
        <w:t xml:space="preserve">41</w:t>
      </w:r>
    </w:p>
    <w:p>
      <w:pPr>
        <w:pStyle w:val="BodyText"/>
      </w:pPr>
      <w:r>
        <w:t xml:space="preserve">78%</w:t>
      </w:r>
    </w:p>
    <w:p>
      <w:pPr>
        <w:pStyle w:val="BodyText"/>
      </w:pPr>
      <w:r>
        <w:t xml:space="preserve">Economics, Environmental Science, Bilingual (Valencian/Spanish)</w:t>
      </w:r>
    </w:p>
    <w:bookmarkEnd w:id="27"/>
    <w:bookmarkStart w:id="28" w:name="Xab9d6dd0913228660496662e3d9a9014292c589"/>
    <w:p>
      <w:pPr>
        <w:pStyle w:val="Heading2"/>
      </w:pPr>
      <w:r>
        <w:t xml:space="preserve">VI. Key Challenges in Spain Valencia Market</w:t>
      </w:r>
    </w:p>
    <w:p>
      <w:pPr>
        <w:pStyle w:val="FirstParagraph"/>
      </w:pPr>
      <w:r>
        <w:t xml:space="preserve">Despite strong results, critical challenges persist for Teacher Secondary recruitment in Valencia:</w:t>
      </w:r>
    </w:p>
    <w:p>
      <w:pPr>
        <w:numPr>
          <w:ilvl w:val="0"/>
          <w:numId w:val="1005"/>
        </w:numPr>
        <w:pStyle w:val="Compact"/>
      </w:pPr>
      <w:r>
        <w:rPr>
          <w:bCs/>
          <w:b/>
        </w:rPr>
        <w:t xml:space="preserve">Competition from Urban Centers:</w:t>
      </w:r>
      <w:r>
        <w:t xml:space="preserve"> </w:t>
      </w:r>
      <w:r>
        <w:t xml:space="preserve">68% of candidates prefer Madrid/Barcelona roles despite higher salaries, requiring enhanced regional value proposition</w:t>
      </w:r>
    </w:p>
    <w:p>
      <w:pPr>
        <w:numPr>
          <w:ilvl w:val="0"/>
          <w:numId w:val="1005"/>
        </w:numPr>
        <w:pStyle w:val="Compact"/>
      </w:pPr>
      <w:r>
        <w:rPr>
          <w:bCs/>
          <w:b/>
        </w:rPr>
        <w:t xml:space="preserve">Cultural Adaptation Needs:</w:t>
      </w:r>
      <w:r>
        <w:t xml:space="preserve"> </w:t>
      </w:r>
      <w:r>
        <w:t xml:space="preserve">34% of non-Valencian teachers cite language/culture barriers as primary retention concern</w:t>
      </w:r>
    </w:p>
    <w:p>
      <w:pPr>
        <w:numPr>
          <w:ilvl w:val="0"/>
          <w:numId w:val="1005"/>
        </w:numPr>
        <w:pStyle w:val="Compact"/>
      </w:pPr>
      <w:r>
        <w:rPr>
          <w:bCs/>
          <w:b/>
        </w:rPr>
        <w:t xml:space="preserve">Curriculum Transition Pressure:</w:t>
      </w:r>
      <w:r>
        <w:t xml:space="preserve"> </w:t>
      </w:r>
      <w:r>
        <w:t xml:space="preserve">New digital literacy mandates created immediate demand for specialized Teacher Secondary profiles not yet in supply</w:t>
      </w:r>
    </w:p>
    <w:bookmarkEnd w:id="28"/>
    <w:bookmarkStart w:id="32" w:name="X8069dc9a1f41bcfc702a096b81b684b19baf4e7"/>
    <w:p>
      <w:pPr>
        <w:pStyle w:val="Heading2"/>
      </w:pPr>
      <w:r>
        <w:t xml:space="preserve">VII. Future Strategy: Sustaining Growth in Spain Valencia</w:t>
      </w:r>
    </w:p>
    <w:p>
      <w:pPr>
        <w:pStyle w:val="FirstParagraph"/>
      </w:pPr>
      <w:r>
        <w:t xml:space="preserve">To maintain our competitive edge for Teacher Secondary recruitment across Spain Valencia, we propose:</w:t>
      </w:r>
    </w:p>
    <w:bookmarkStart w:id="29" w:name="a.-enhanced-regional-employer-branding"/>
    <w:p>
      <w:pPr>
        <w:pStyle w:val="Heading3"/>
      </w:pPr>
      <w:r>
        <w:t xml:space="preserve">A. Enhanced Regional Employer Branding</w:t>
      </w:r>
    </w:p>
    <w:p>
      <w:pPr>
        <w:numPr>
          <w:ilvl w:val="0"/>
          <w:numId w:val="1006"/>
        </w:numPr>
        <w:pStyle w:val="Compact"/>
      </w:pPr>
      <w:r>
        <w:t xml:space="preserve">Develop "Valencia Educator Experience" video series showcasing daily life of secondary teachers</w:t>
      </w:r>
    </w:p>
    <w:p>
      <w:pPr>
        <w:numPr>
          <w:ilvl w:val="0"/>
          <w:numId w:val="1006"/>
        </w:numPr>
        <w:pStyle w:val="Compact"/>
      </w:pPr>
      <w:r>
        <w:t xml:space="preserve">Create Valencian cultural immersion programs for incoming Teacher Secondary staff</w:t>
      </w:r>
    </w:p>
    <w:bookmarkEnd w:id="29"/>
    <w:bookmarkStart w:id="30" w:name="b.-pipeline-development-initiatives"/>
    <w:p>
      <w:pPr>
        <w:pStyle w:val="Heading3"/>
      </w:pPr>
      <w:r>
        <w:t xml:space="preserve">B. Pipeline Development Initiatives</w:t>
      </w:r>
    </w:p>
    <w:p>
      <w:pPr>
        <w:numPr>
          <w:ilvl w:val="0"/>
          <w:numId w:val="1007"/>
        </w:numPr>
        <w:pStyle w:val="Compact"/>
      </w:pPr>
      <w:r>
        <w:t xml:space="preserve">Launch "Future Secondary Teachers" scholarship program with 70% tuition coverage at Valencia universities</w:t>
      </w:r>
    </w:p>
    <w:p>
      <w:pPr>
        <w:numPr>
          <w:ilvl w:val="0"/>
          <w:numId w:val="1007"/>
        </w:numPr>
        <w:pStyle w:val="Compact"/>
      </w:pPr>
      <w:r>
        <w:t xml:space="preserve">Establish teacher residency program partnering with 50+ schools for hands-on training</w:t>
      </w:r>
    </w:p>
    <w:bookmarkEnd w:id="30"/>
    <w:bookmarkStart w:id="31" w:name="c.-technology-integration"/>
    <w:p>
      <w:pPr>
        <w:pStyle w:val="Heading3"/>
      </w:pPr>
      <w:r>
        <w:t xml:space="preserve">C. Technology Integration</w:t>
      </w:r>
    </w:p>
    <w:p>
      <w:pPr>
        <w:numPr>
          <w:ilvl w:val="0"/>
          <w:numId w:val="1008"/>
        </w:numPr>
        <w:pStyle w:val="Compact"/>
      </w:pPr>
      <w:r>
        <w:t xml:space="preserve">Implement AI-driven matching system prioritizing Teacher Secondary candidates based on Valencian school needs</w:t>
      </w:r>
    </w:p>
    <w:p>
      <w:pPr>
        <w:numPr>
          <w:ilvl w:val="0"/>
          <w:numId w:val="1008"/>
        </w:numPr>
        <w:pStyle w:val="Compact"/>
      </w:pPr>
      <w:r>
        <w:t xml:space="preserve">Create virtual campus tours for Teacher Secondary applicants considering Spain Valencia roles</w:t>
      </w:r>
    </w:p>
    <w:bookmarkEnd w:id="31"/>
    <w:bookmarkEnd w:id="32"/>
    <w:bookmarkStart w:id="33" w:name="X59b5b9156d954591db24daef6f62e2dad3251e4"/>
    <w:p>
      <w:pPr>
        <w:pStyle w:val="Heading2"/>
      </w:pPr>
      <w:r>
        <w:t xml:space="preserve">VIII. Conclusion: The Path Forward for Teacher Secondary Recruitment in Spain Valencia</w:t>
      </w:r>
    </w:p>
    <w:p>
      <w:pPr>
        <w:pStyle w:val="FirstParagraph"/>
      </w:pPr>
      <w:r>
        <w:t xml:space="preserve">This Sales Report confirms significant progress in addressing secondary teacher shortages across the Valencian region. Our strategic focus on localized recruitment, competitive compensation, and cultural integration has positioned us to lead Spain Valencia's Teacher Secondary market. However, sustaining this momentum requires continued investment in regional talent pipelines and employer branding that highlights Valencia's unique educational ecosystem.</w:t>
      </w:r>
    </w:p>
    <w:p>
      <w:pPr>
        <w:pStyle w:val="BodyText"/>
      </w:pPr>
      <w:r>
        <w:t xml:space="preserve">With secondary education enrollment projected to grow by 6.2% by 2025, the demand for Teacher Secondary professionals in Spain Valencia will intensify. Our Q3 results demonstrate that regionally tailored recruitment strategies—not just national approaches—deliver measurable success. We project filling 245 Teacher Secondary positions in Q4 2023 through these targeted initiatives, maintaining our leadership position in Spain's educational staffing market.</w:t>
      </w:r>
    </w:p>
    <w:p>
      <w:pPr>
        <w:pStyle w:val="BodyText"/>
      </w:pPr>
      <w:r>
        <w:rPr>
          <w:bCs/>
          <w:b/>
        </w:rPr>
        <w:t xml:space="preserve">Final Note:</w:t>
      </w:r>
      <w:r>
        <w:t xml:space="preserve"> </w:t>
      </w:r>
      <w:r>
        <w:t xml:space="preserve">This Sales Report underscores that successful Teacher Secondary recruitment in Spain Valencia requires understanding the region's cultural, economic, and educational nuances. Our commitment to localizing every aspect of the recruitment journey has been the differentiator driving our 32% YoY growth in placements—proving that when sales strategies align with regional realities, both schools and educators thrive.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Recruitment Sales Report - Valencia, Spain</dc:title>
  <dc:creator/>
  <dc:language>en</dc:language>
  <cp:keywords/>
  <dcterms:created xsi:type="dcterms:W3CDTF">2026-07-23T15:12:28Z</dcterms:created>
  <dcterms:modified xsi:type="dcterms:W3CDTF">2026-07-23T15:12:28Z</dcterms:modified>
</cp:coreProperties>
</file>

<file path=docProps/custom.xml><?xml version="1.0" encoding="utf-8"?>
<Properties xmlns="http://schemas.openxmlformats.org/officeDocument/2006/custom-properties" xmlns:vt="http://schemas.openxmlformats.org/officeDocument/2006/docPropsVTypes"/>
</file>