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Thailand</w:t>
      </w:r>
      <w:r>
        <w:t xml:space="preserve"> </w:t>
      </w:r>
      <w:r>
        <w:t xml:space="preserve">Bangkok</w:t>
      </w:r>
    </w:p>
    <w:bookmarkStart w:id="27" w:name="Xa7ea81ccc0dd6c88f3e4ff6225b920b4342d9a9"/>
    <w:p>
      <w:pPr>
        <w:pStyle w:val="Heading1"/>
      </w:pPr>
      <w:r>
        <w:t xml:space="preserve">Comprehensive Sales Report: Teacher Secondary Program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Management</w:t>
      </w:r>
      <w:r>
        <w:br/>
      </w:r>
      <w:r>
        <w:rPr>
          <w:bCs/>
          <w:b/>
        </w:rPr>
        <w:t xml:space="preserve">Region:</w:t>
      </w:r>
      <w:r>
        <w:t xml:space="preserve"> </w:t>
      </w:r>
      <w:r>
        <w:t xml:space="preserve">Thailand - Bangkok Metropolitan Area</w:t>
      </w:r>
    </w:p>
    <w:bookmarkStart w:id="20" w:name="executive-summary"/>
    <w:p>
      <w:pPr>
        <w:pStyle w:val="Heading2"/>
      </w:pPr>
      <w:r>
        <w:t xml:space="preserve">Executive Summary</w:t>
      </w:r>
    </w:p>
    <w:p>
      <w:pPr>
        <w:pStyle w:val="FirstParagraph"/>
      </w:pPr>
      <w:r>
        <w:t xml:space="preserve">This Sales Report details the performance of the Teacher Secondary program across Bangkok, Thailand during Q3 2023. The program – a specialized professional development platform designed exclusively for secondary school educators – has demonstrated significant traction in Thailand's education sector. Despite regional market complexities, Teacher Secondary achieved a 37% year-over-year sales growth in Bangkok, securing contracts with 42 new schools and expanding our market share to 18% within the city's secondary education technology segment. This success positions us for accelerated growth as Thailand's Ministry of Education prioritizes digital transformation in secondary curricula.</w:t>
      </w:r>
    </w:p>
    <w:bookmarkEnd w:id="20"/>
    <w:bookmarkStart w:id="21" w:name="X067f55d984128aa1a651a3ab4d18f435649a672"/>
    <w:p>
      <w:pPr>
        <w:pStyle w:val="Heading2"/>
      </w:pPr>
      <w:r>
        <w:t xml:space="preserve">Market Analysis: Teacher Secondary in Bangkok Context</w:t>
      </w:r>
    </w:p>
    <w:p>
      <w:pPr>
        <w:pStyle w:val="FirstParagraph"/>
      </w:pPr>
      <w:r>
        <w:t xml:space="preserve">Bangkok represents Thailand's most dynamic educational market, housing 68% of the country's private secondary institutions and 54% of public schools with advanced STEM/ICT integration. The Teacher Secondary program addresses critical pain points identified through our Bangkok partnership surveys: 73% of educators reported inadequate digital pedagogy training (Thailand Education Survey, Q2 2023), while school administrators cited a 41% shortage in certified secondary teachers for technology-enabled instruction.</w:t>
      </w:r>
    </w:p>
    <w:p>
      <w:pPr>
        <w:pStyle w:val="BodyText"/>
      </w:pPr>
      <w:r>
        <w:t xml:space="preserve">Our program's localized content – including Thai-language lesson modules aligned with Thailand's New Educational Standards (NES) and culturally relevant case studies – has been pivotal. Unlike generic platforms, Teacher Secondary integrates Thailand-specific curriculum requirements, making it the only solution meeting the Ministry of Education's 2023 digital teacher certification criteria. This strategic alignment directly contributed to our 89% adoption rate among Bangkok schools seeking certified training programs.</w:t>
      </w:r>
    </w:p>
    <w:bookmarkEnd w:id="21"/>
    <w:bookmarkStart w:id="22" w:name="sales-performance-overview"/>
    <w:p>
      <w:pPr>
        <w:pStyle w:val="Heading2"/>
      </w:pPr>
      <w:r>
        <w:t xml:space="preserve">Sales Performance Overview</w:t>
      </w:r>
    </w:p>
    <w:p>
      <w:pPr>
        <w:pStyle w:val="FirstParagraph"/>
      </w:pPr>
      <w:r>
        <w:t xml:space="preserve">Metric</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New School Contracts (Bangkok)</w:t>
      </w:r>
    </w:p>
    <w:p>
      <w:pPr>
        <w:pStyle w:val="BodyText"/>
      </w:pPr>
      <w:r>
        <w:t xml:space="preserve">18</w:t>
      </w:r>
    </w:p>
    <w:p>
      <w:pPr>
        <w:pStyle w:val="BodyText"/>
      </w:pPr>
      <w:r>
        <w:t xml:space="preserve">42</w:t>
      </w:r>
    </w:p>
    <w:p>
      <w:pPr>
        <w:pStyle w:val="BodyText"/>
      </w:pPr>
      <w:r>
        <w:t xml:space="preserve">+133%</w:t>
      </w:r>
    </w:p>
    <w:p>
      <w:pPr>
        <w:pStyle w:val="BodyText"/>
      </w:pPr>
      <w:r>
        <w:t xml:space="preserve">Revenue Generated</w:t>
      </w:r>
    </w:p>
    <w:p>
      <w:pPr>
        <w:pStyle w:val="BodyText"/>
      </w:pPr>
      <w:r>
        <w:t xml:space="preserve">฿9.2M THB</w:t>
      </w:r>
    </w:p>
    <w:p>
      <w:pPr>
        <w:pStyle w:val="BodyText"/>
      </w:pPr>
      <w:r>
        <w:t xml:space="preserve">Total Revenue (Thailand)</w:t>
      </w:r>
    </w:p>
    <w:p>
      <w:pPr>
        <w:pStyle w:val="BodyText"/>
      </w:pPr>
      <w:r>
        <w:t xml:space="preserve">฿15.4M THB</w:t>
      </w:r>
    </w:p>
    <w:p>
      <w:pPr>
        <w:pStyle w:val="BodyText"/>
      </w:pPr>
      <w:r>
        <w:t xml:space="preserve">฿48.1M THB</w:t>
      </w:r>
    </w:p>
    <w:p>
      <w:pPr>
        <w:pStyle w:val="BodyText"/>
      </w:pPr>
      <w:r>
        <w:t xml:space="preserve">+212%</w:t>
      </w:r>
    </w:p>
    <w:p>
      <w:pPr>
        <w:pStyle w:val="BodyText"/>
      </w:pPr>
      <w:r>
        <w:t xml:space="preserve">The Bangkok market accounted for 76% of our Thailand sales in Q3, driven by strategic partnerships with the Bangkok Metropolitan Administration's Education Department. Key wins include the district-wide implementation across 15 schools in Pathum Thani (a satellite city) and a landmark 3-year contract with Suan Sunandha Rajabhat University for its secondary teacher certification program – Thailand's largest single institutional purchase to date.</w:t>
      </w:r>
    </w:p>
    <w:bookmarkEnd w:id="22"/>
    <w:bookmarkStart w:id="23" w:name="regional-sales-strategy-why-bangkok-wins"/>
    <w:p>
      <w:pPr>
        <w:pStyle w:val="Heading2"/>
      </w:pPr>
      <w:r>
        <w:t xml:space="preserve">Regional Sales Strategy: Why Bangkok Wins</w:t>
      </w:r>
    </w:p>
    <w:p>
      <w:pPr>
        <w:pStyle w:val="FirstParagraph"/>
      </w:pPr>
      <w:r>
        <w:t xml:space="preserve">Our success stems from hyper-localized execution. In Thailand, Bangkok's unique educational ecosystem demands tailored approaches:</w:t>
      </w:r>
    </w:p>
    <w:p>
      <w:pPr>
        <w:numPr>
          <w:ilvl w:val="0"/>
          <w:numId w:val="1001"/>
        </w:numPr>
        <w:pStyle w:val="Compact"/>
      </w:pPr>
      <w:r>
        <w:rPr>
          <w:bCs/>
          <w:b/>
        </w:rPr>
        <w:t xml:space="preserve">Cultural Integration:</w:t>
      </w:r>
      <w:r>
        <w:t xml:space="preserve"> </w:t>
      </w:r>
      <w:r>
        <w:t xml:space="preserve">Teacher Secondary content features Thai educators as instructional models (e.g., "Ms. Pim at Ratchawong School" case studies), avoiding Western-centric examples that previously hindered adoption.</w:t>
      </w:r>
    </w:p>
    <w:p>
      <w:pPr>
        <w:numPr>
          <w:ilvl w:val="0"/>
          <w:numId w:val="1001"/>
        </w:numPr>
        <w:pStyle w:val="Compact"/>
      </w:pPr>
      <w:r>
        <w:rPr>
          <w:bCs/>
          <w:b/>
        </w:rPr>
        <w:t xml:space="preserve">Logistics Optimization:</w:t>
      </w:r>
      <w:r>
        <w:t xml:space="preserve"> </w:t>
      </w:r>
      <w:r>
        <w:t xml:space="preserve">We established Bangkok's first dedicated training hub in Silom, offering on-site workshops during school holidays – a critical factor as 87% of secondary teachers cited "time constraints" as their primary barrier to professional development (Bangkok Education Institute, July 2023).</w:t>
      </w:r>
    </w:p>
    <w:p>
      <w:pPr>
        <w:numPr>
          <w:ilvl w:val="0"/>
          <w:numId w:val="1001"/>
        </w:numPr>
        <w:pStyle w:val="Compact"/>
      </w:pPr>
      <w:r>
        <w:rPr>
          <w:bCs/>
          <w:b/>
        </w:rPr>
        <w:t xml:space="preserve">Policy Alignment:</w:t>
      </w:r>
      <w:r>
        <w:t xml:space="preserve"> </w:t>
      </w:r>
      <w:r>
        <w:t xml:space="preserve">The program directly supports Thailand's "Digital Transformation in Education" initiative, which allocates ฿6.8B THB for teacher tech training across Bangkok and major cities through 2025.</w:t>
      </w:r>
    </w:p>
    <w:bookmarkEnd w:id="23"/>
    <w:bookmarkStart w:id="24" w:name="key-challenges-mitigation"/>
    <w:p>
      <w:pPr>
        <w:pStyle w:val="Heading2"/>
      </w:pPr>
      <w:r>
        <w:t xml:space="preserve">Key Challenges &amp; Mitigation</w:t>
      </w:r>
    </w:p>
    <w:p>
      <w:pPr>
        <w:pStyle w:val="FirstParagraph"/>
      </w:pPr>
      <w:r>
        <w:t xml:space="preserve">Despite strong growth, two Bangkok-specific challenges required agile responses:</w:t>
      </w:r>
    </w:p>
    <w:p>
      <w:pPr>
        <w:numPr>
          <w:ilvl w:val="0"/>
          <w:numId w:val="1002"/>
        </w:numPr>
        <w:pStyle w:val="Compact"/>
      </w:pPr>
      <w:r>
        <w:rPr>
          <w:bCs/>
          <w:b/>
        </w:rPr>
        <w:t xml:space="preserve">Language Complexity:</w:t>
      </w:r>
      <w:r>
        <w:t xml:space="preserve"> </w:t>
      </w:r>
      <w:r>
        <w:t xml:space="preserve">Initial Thai translations caused confusion with technical terms. Solution: Partnered with Bangkok's Institute of Language and Culture to develop a standardized educational lexicon, reducing support tickets by 63%.</w:t>
      </w:r>
    </w:p>
    <w:p>
      <w:pPr>
        <w:numPr>
          <w:ilvl w:val="0"/>
          <w:numId w:val="1002"/>
        </w:numPr>
        <w:pStyle w:val="Compact"/>
      </w:pPr>
      <w:r>
        <w:rPr>
          <w:bCs/>
          <w:b/>
        </w:rPr>
        <w:t xml:space="preserve">Cultural Resistance:</w:t>
      </w:r>
      <w:r>
        <w:t xml:space="preserve"> </w:t>
      </w:r>
      <w:r>
        <w:t xml:space="preserve">Older educators initially resisted digital tools. Strategy: Launched "Senior Teacher Champions" program where respected Bangkok educators co-delivered workshops, increasing participation in mentorship streams by 210%.</w:t>
      </w:r>
    </w:p>
    <w:bookmarkEnd w:id="24"/>
    <w:bookmarkStart w:id="25" w:name="Xad7861e9e3a632999cf87a85747334755c4ca09"/>
    <w:p>
      <w:pPr>
        <w:pStyle w:val="Heading2"/>
      </w:pPr>
      <w:r>
        <w:t xml:space="preserve">Strategic Recommendations for Thailand Bangkok Expansion</w:t>
      </w:r>
    </w:p>
    <w:p>
      <w:pPr>
        <w:pStyle w:val="FirstParagraph"/>
      </w:pPr>
      <w:r>
        <w:t xml:space="preserve">To capitalize on our momentum, we propose three targeted initiatives:</w:t>
      </w:r>
    </w:p>
    <w:p>
      <w:pPr>
        <w:numPr>
          <w:ilvl w:val="0"/>
          <w:numId w:val="1003"/>
        </w:numPr>
        <w:pStyle w:val="Compact"/>
      </w:pPr>
      <w:r>
        <w:rPr>
          <w:bCs/>
          <w:b/>
        </w:rPr>
        <w:t xml:space="preserve">Government Partnership Acceleration:</w:t>
      </w:r>
      <w:r>
        <w:t xml:space="preserve"> </w:t>
      </w:r>
      <w:r>
        <w:t xml:space="preserve">Pursue official Ministry of Education certification as a "preferred vendor" for secondary teacher training – a move that would unlock 127 public schools in Bangkok currently on waitlists.</w:t>
      </w:r>
    </w:p>
    <w:p>
      <w:pPr>
        <w:numPr>
          <w:ilvl w:val="0"/>
          <w:numId w:val="1003"/>
        </w:numPr>
        <w:pStyle w:val="Compact"/>
      </w:pPr>
      <w:r>
        <w:rPr>
          <w:bCs/>
          <w:b/>
        </w:rPr>
        <w:t xml:space="preserve">Localized Content Expansion:</w:t>
      </w:r>
      <w:r>
        <w:t xml:space="preserve"> </w:t>
      </w:r>
      <w:r>
        <w:t xml:space="preserve">Develop Khmer-language modules for Bangkok's growing immigrant educator community (12% of teachers in the city), targeting schools with diverse student populations like those near Samut Prakan.</w:t>
      </w:r>
    </w:p>
    <w:p>
      <w:pPr>
        <w:numPr>
          <w:ilvl w:val="0"/>
          <w:numId w:val="1003"/>
        </w:numPr>
        <w:pStyle w:val="Compact"/>
      </w:pPr>
      <w:r>
        <w:rPr>
          <w:bCs/>
          <w:b/>
        </w:rPr>
        <w:t xml:space="preserve">School Network Model:</w:t>
      </w:r>
      <w:r>
        <w:t xml:space="preserve"> </w:t>
      </w:r>
      <w:r>
        <w:t xml:space="preserve">Create "Teacher Secondary Clusters" where 5-7 neighboring schools share a dedicated regional coach, reducing per-school costs by 30% while strengthening community adoption – proven successful in Bangkok's Nonthaburi district pilot.</w:t>
      </w:r>
    </w:p>
    <w:bookmarkEnd w:id="25"/>
    <w:bookmarkStart w:id="26" w:name="Xda33978557211af4d3ba667be251a31b2d68199"/>
    <w:p>
      <w:pPr>
        <w:pStyle w:val="Heading2"/>
      </w:pPr>
      <w:r>
        <w:t xml:space="preserve">Conclusion: Teacher Secondary as Bangkok's Education Catalyst</w:t>
      </w:r>
    </w:p>
    <w:p>
      <w:pPr>
        <w:pStyle w:val="FirstParagraph"/>
      </w:pPr>
      <w:r>
        <w:t xml:space="preserve">The Thailand Bangkok market has unequivocally validated the Teacher Secondary program's value proposition. Our data confirms that when professional development solutions align with local educational priorities, cultural context, and operational realities – as Teacher Secondary does in Bangkok – they achieve transformative adoption. This report underscores that our platform isn't merely a sales success but an essential catalyst for Thailand's digital education revolution.</w:t>
      </w:r>
    </w:p>
    <w:p>
      <w:pPr>
        <w:pStyle w:val="BodyText"/>
      </w:pPr>
      <w:r>
        <w:t xml:space="preserve">Looking ahead, we project 52% market share capture among Bangkok secondary schools by Q2 2024. The Teacher Secondary program has evolved from a product into the de facto standard for teacher development in Thailand's most competitive educational marketplace. As Bangkok continues its journey toward becoming Southeast Asia's education innovation hub, Teacher Secondary will remain at the forefront of empowering educators to shape Thailand's future workforce.</w:t>
      </w:r>
    </w:p>
    <w:p>
      <w:pPr>
        <w:pStyle w:val="BodyText"/>
      </w:pPr>
      <w:r>
        <w:rPr>
          <w:bCs/>
          <w:b/>
        </w:rPr>
        <w:t xml:space="preserve">Prepared By:</w:t>
      </w:r>
      <w:r>
        <w:t xml:space="preserve"> </w:t>
      </w:r>
      <w:r>
        <w:t xml:space="preserve">Regional Sales Director, Southeast Asia</w:t>
      </w:r>
      <w:r>
        <w:br/>
      </w:r>
      <w:r>
        <w:rPr>
          <w:bCs/>
          <w:b/>
        </w:rPr>
        <w:t xml:space="preserve">Contact:</w:t>
      </w:r>
      <w:r>
        <w:t xml:space="preserve"> </w:t>
      </w:r>
      <w:r>
        <w:t xml:space="preserve">sales.thailand@teacherssecondary.com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Thailand Bangkok</dc:title>
  <dc:creator/>
  <dc:language>en</dc:language>
  <cp:keywords/>
  <dcterms:created xsi:type="dcterms:W3CDTF">2026-07-23T15:20:16Z</dcterms:created>
  <dcterms:modified xsi:type="dcterms:W3CDTF">2026-07-23T15:20:16Z</dcterms:modified>
</cp:coreProperties>
</file>

<file path=docProps/custom.xml><?xml version="1.0" encoding="utf-8"?>
<Properties xmlns="http://schemas.openxmlformats.org/officeDocument/2006/custom-properties" xmlns:vt="http://schemas.openxmlformats.org/officeDocument/2006/docPropsVTypes"/>
</file>