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Market</w:t>
      </w:r>
      <w:r>
        <w:t xml:space="preserve"> </w:t>
      </w:r>
      <w:r>
        <w:t xml:space="preserve">in</w:t>
      </w:r>
      <w:r>
        <w:t xml:space="preserve"> </w:t>
      </w:r>
      <w:r>
        <w:t xml:space="preserve">Turkey</w:t>
      </w:r>
      <w:r>
        <w:t xml:space="preserve"> </w:t>
      </w:r>
      <w:r>
        <w:t xml:space="preserve">Ankara</w:t>
      </w:r>
    </w:p>
    <w:bookmarkStart w:id="30" w:name="X025fb0e62fb78f5dc66cc5dd0505465db595875"/>
    <w:p>
      <w:pPr>
        <w:pStyle w:val="Heading1"/>
      </w:pPr>
      <w:r>
        <w:t xml:space="preserve">ANNUAL SALES REPORT: TEACHER SECONDARY MARKET PERFORMANCE IN TURKEY ANKARA</w:t>
      </w:r>
    </w:p>
    <w:p>
      <w:pPr>
        <w:pStyle w:val="FirstParagraph"/>
      </w:pPr>
      <w:r>
        <w:t xml:space="preserve">Prepared for Educational Solutions International | Q4 2023 - Q3 2024</w:t>
      </w:r>
    </w:p>
    <w:bookmarkStart w:id="20" w:name="executive-summary"/>
    <w:p>
      <w:pPr>
        <w:pStyle w:val="Heading2"/>
      </w:pPr>
      <w:r>
        <w:t xml:space="preserve">Executive Summary</w:t>
      </w:r>
    </w:p>
    <w:p>
      <w:pPr>
        <w:pStyle w:val="FirstParagraph"/>
      </w:pPr>
      <w:r>
        <w:t xml:space="preserve">This comprehensive Sales Report details the performance of secondary education teacher recruitment, professional development, and educational technology solutions across Turkey Ankara. As the political and educational capital of Turkey, Ankara represents a critical market for Teacher Secondary initiatives where we've achieved remarkable growth. The report confirms a 37% year-over-year increase in sales volume specifically targeting secondary educators (grades 6-12) within the Ankara metropolitan area, driven by national education reforms and strategic partnerships with local municipalities.</w:t>
      </w:r>
    </w:p>
    <w:bookmarkEnd w:id="20"/>
    <w:bookmarkStart w:id="21" w:name="X47f3b14b132ff028c5d99610d5f61f81f255a09"/>
    <w:p>
      <w:pPr>
        <w:pStyle w:val="Heading2"/>
      </w:pPr>
      <w:r>
        <w:t xml:space="preserve">Market Analysis: Turkey Ankara Educational Landscape</w:t>
      </w:r>
    </w:p>
    <w:p>
      <w:pPr>
        <w:pStyle w:val="FirstParagraph"/>
      </w:pPr>
      <w:r>
        <w:t xml:space="preserve">With over 350 secondary schools operating in Ankara—including 47 state-run institutions under the Ministry of National Education (MEB)—the Teacher Secondary segment presents an unparalleled market opportunity. The Turkish government's recent "Vision 2030" education strategy has prioritized secondary teacher quality, directly fueling demand for our certified professional development programs. In Turkey Ankara specifically, we've observed a 28% increase in school budget allocation for teacher training compared to previous years, creating an ideal environment for our Teacher Secondary solutions.</w:t>
      </w:r>
    </w:p>
    <w:p>
      <w:pPr>
        <w:pStyle w:val="BodyText"/>
      </w:pPr>
      <w:r>
        <w:t xml:space="preserve">Key market drivers include:</w:t>
      </w:r>
    </w:p>
    <w:p>
      <w:pPr>
        <w:numPr>
          <w:ilvl w:val="0"/>
          <w:numId w:val="1001"/>
        </w:numPr>
        <w:pStyle w:val="Compact"/>
      </w:pPr>
      <w:r>
        <w:rPr>
          <w:bCs/>
          <w:b/>
        </w:rPr>
        <w:t xml:space="preserve">Curriculum Modernization:</w:t>
      </w:r>
      <w:r>
        <w:t xml:space="preserve"> </w:t>
      </w:r>
      <w:r>
        <w:t xml:space="preserve">Mandatory STEM and digital literacy integration in secondary education</w:t>
      </w:r>
    </w:p>
    <w:p>
      <w:pPr>
        <w:numPr>
          <w:ilvl w:val="0"/>
          <w:numId w:val="1001"/>
        </w:numPr>
        <w:pStyle w:val="Compact"/>
      </w:pPr>
      <w:r>
        <w:rPr>
          <w:bCs/>
          <w:b/>
        </w:rPr>
        <w:t xml:space="preserve">Teacher Shortage Crisis:</w:t>
      </w:r>
      <w:r>
        <w:t xml:space="preserve"> </w:t>
      </w:r>
      <w:r>
        <w:t xml:space="preserve">Ankara alone requires 1,200 additional qualified secondary teachers annually</w:t>
      </w:r>
    </w:p>
    <w:p>
      <w:pPr>
        <w:numPr>
          <w:ilvl w:val="0"/>
          <w:numId w:val="1001"/>
        </w:numPr>
        <w:pStyle w:val="Compact"/>
      </w:pPr>
      <w:r>
        <w:rPr>
          <w:bCs/>
          <w:b/>
        </w:rPr>
        <w:t xml:space="preserve">National Assessment Reforms:</w:t>
      </w:r>
      <w:r>
        <w:t xml:space="preserve"> </w:t>
      </w:r>
      <w:r>
        <w:t xml:space="preserve">New standardized testing frameworks increasing demand for teacher training</w:t>
      </w:r>
    </w:p>
    <w:bookmarkEnd w:id="21"/>
    <w:bookmarkStart w:id="25" w:name="Xbe96eb248f50e96b68f827905d8244f45fbb7d7"/>
    <w:p>
      <w:pPr>
        <w:pStyle w:val="Heading2"/>
      </w:pPr>
      <w:r>
        <w:t xml:space="preserve">Sales Performance Breakdown: Turkey Ankara Focus</w:t>
      </w:r>
    </w:p>
    <w:bookmarkStart w:id="22" w:name="recruitment-placement-services"/>
    <w:p>
      <w:pPr>
        <w:pStyle w:val="Heading3"/>
      </w:pPr>
      <w:r>
        <w:t xml:space="preserve">1. Recruitment &amp; Placement Services</w:t>
      </w:r>
    </w:p>
    <w:p>
      <w:pPr>
        <w:pStyle w:val="FirstParagraph"/>
      </w:pPr>
      <w:r>
        <w:t xml:space="preserve">Our Teacher Secondary recruitment division achieved 92% placement rate in Ankara schools for the fiscal year, exceeding targets by 18%. The sales pipeline generated $487,000 in revenue from placements across 216 secondary teachers (including math, science, and Turkish language specialists). Notable contracts included:</w:t>
      </w:r>
    </w:p>
    <w:p>
      <w:pPr>
        <w:numPr>
          <w:ilvl w:val="0"/>
          <w:numId w:val="1002"/>
        </w:numPr>
        <w:pStyle w:val="Compact"/>
      </w:pPr>
      <w:r>
        <w:t xml:space="preserve">3-year partnership with Ankara Metropolitan Municipality for teacher recruitment (value: $185,000)</w:t>
      </w:r>
    </w:p>
    <w:p>
      <w:pPr>
        <w:numPr>
          <w:ilvl w:val="0"/>
          <w:numId w:val="1002"/>
        </w:numPr>
        <w:pStyle w:val="Compact"/>
      </w:pPr>
      <w:r>
        <w:t xml:space="preserve">Specialized STEM teacher placement program for 15 Ankara public schools ($124,000)</w:t>
      </w:r>
    </w:p>
    <w:bookmarkEnd w:id="22"/>
    <w:bookmarkStart w:id="23" w:name="professional-development-programs"/>
    <w:p>
      <w:pPr>
        <w:pStyle w:val="Heading3"/>
      </w:pPr>
      <w:r>
        <w:t xml:space="preserve">2. Professional Development Programs</w:t>
      </w:r>
    </w:p>
    <w:p>
      <w:pPr>
        <w:pStyle w:val="FirstParagraph"/>
      </w:pPr>
      <w:r>
        <w:t xml:space="preserve">The most significant growth area was our Teacher Secondary professional development suite. In Turkey Ankara, we conducted 47 workshops reaching 1,890 educators, generating $612,000 in sales. The flagship "Digital Pedagogy Certification" program saw 327 enrollments from secondary schools across Ankara's districts (Etimesgut, Cankaya, Sihhiye), with a 94% satisfaction rate. This represents a 53% increase from the previous year's performance in our Turkey Ankara operations.</w:t>
      </w:r>
    </w:p>
    <w:bookmarkEnd w:id="23"/>
    <w:bookmarkStart w:id="24" w:name="educational-technology-solutions"/>
    <w:p>
      <w:pPr>
        <w:pStyle w:val="Heading3"/>
      </w:pPr>
      <w:r>
        <w:t xml:space="preserve">3. Educational Technology Solutions</w:t>
      </w:r>
    </w:p>
    <w:p>
      <w:pPr>
        <w:pStyle w:val="FirstParagraph"/>
      </w:pPr>
      <w:r>
        <w:t xml:space="preserve">Our Teacher Secondary technology ecosystem (including LMS integration and AI-assisted lesson planning tools) achieved remarkable penetration in Ankara schools. We secured 82 new institutional contracts with secondary schools, representing a 41% growth rate. The "Ankara SchoolTech Package"—a bundled solution for secondary classrooms—generated $395,000 in revenue, particularly popular among private and foundation schools in the capital region.</w:t>
      </w:r>
    </w:p>
    <w:bookmarkEnd w:id="24"/>
    <w:bookmarkEnd w:id="25"/>
    <w:bookmarkStart w:id="26" w:name="X082679e08ec41538e09e2926e36d0bb23da8713"/>
    <w:p>
      <w:pPr>
        <w:pStyle w:val="Heading2"/>
      </w:pPr>
      <w:r>
        <w:t xml:space="preserve">Regional Analysis: Turkey Ankara District Performance</w:t>
      </w:r>
    </w:p>
    <w:p>
      <w:pPr>
        <w:pStyle w:val="FirstParagraph"/>
      </w:pPr>
      <w:r>
        <w:t xml:space="preserve">Sub-Region</w:t>
      </w:r>
    </w:p>
    <w:p>
      <w:pPr>
        <w:pStyle w:val="BodyText"/>
      </w:pPr>
      <w:r>
        <w:t xml:space="preserve">Sales Volume (USD)</w:t>
      </w:r>
    </w:p>
    <w:p>
      <w:pPr>
        <w:pStyle w:val="BodyText"/>
      </w:pPr>
      <w:r>
        <w:t xml:space="preserve">YoY Growth</w:t>
      </w:r>
    </w:p>
    <w:p>
      <w:pPr>
        <w:pStyle w:val="BodyText"/>
      </w:pPr>
      <w:r>
        <w:t xml:space="preserve">Top Teacher Secondary Demand</w:t>
      </w:r>
    </w:p>
    <w:p>
      <w:pPr>
        <w:pStyle w:val="BodyText"/>
      </w:pPr>
      <w:r>
        <w:t xml:space="preserve">Cankaya District</w:t>
      </w:r>
    </w:p>
    <w:p>
      <w:pPr>
        <w:pStyle w:val="BodyText"/>
      </w:pPr>
      <w:r>
        <w:t xml:space="preserve">$286,500</w:t>
      </w:r>
    </w:p>
    <w:p>
      <w:pPr>
        <w:pStyle w:val="BodyText"/>
      </w:pPr>
      <w:r>
        <w:t xml:space="preserve">43%</w:t>
      </w:r>
    </w:p>
    <w:p>
      <w:pPr>
        <w:pStyle w:val="BodyText"/>
      </w:pPr>
      <w:r>
        <w:t xml:space="preserve">STEM Teachers, Digital Literacy Training</w:t>
      </w:r>
    </w:p>
    <w:p>
      <w:pPr>
        <w:pStyle w:val="BodyText"/>
      </w:pPr>
      <w:r>
        <w:t xml:space="preserve">Etimesgut District</w:t>
      </w:r>
    </w:p>
    <w:p>
      <w:pPr>
        <w:pStyle w:val="BodyText"/>
      </w:pPr>
      <w:r>
        <w:t xml:space="preserve">$218,700</w:t>
      </w:r>
    </w:p>
    <w:p>
      <w:pPr>
        <w:pStyle w:val="BodyText"/>
      </w:pPr>
      <w:r>
        <w:t xml:space="preserve">39%</w:t>
      </w:r>
    </w:p>
    <w:p>
      <w:pPr>
        <w:pStyle w:val="BodyText"/>
      </w:pPr>
      <w:r>
        <w:t xml:space="preserve">Special Education Secondary Teachers, AI Tools</w:t>
      </w:r>
    </w:p>
    <w:p>
      <w:pPr>
        <w:pStyle w:val="BodyText"/>
      </w:pPr>
      <w:r>
        <w:t xml:space="preserve">Sihhiye District</w:t>
      </w:r>
    </w:p>
    <w:p>
      <w:pPr>
        <w:pStyle w:val="BodyText"/>
      </w:pPr>
      <w:r>
        <w:t xml:space="preserve">$194,200</w:t>
      </w:r>
    </w:p>
    <w:p>
      <w:pPr>
        <w:pStyle w:val="BodyText"/>
      </w:pPr>
      <w:r>
        <w:t xml:space="preserve">51%</w:t>
      </w:r>
    </w:p>
    <w:p>
      <w:pPr>
        <w:pStyle w:val="BodyText"/>
      </w:pPr>
      <w:r>
        <w:t xml:space="preserve">Modern Language Teachers, Assessment Systems</w:t>
      </w:r>
    </w:p>
    <w:p>
      <w:pPr>
        <w:pStyle w:val="BodyText"/>
      </w:pPr>
      <w:r>
        <w:rPr>
          <w:bCs/>
          <w:b/>
        </w:rPr>
        <w:t xml:space="preserve">Total Ankara Region</w:t>
      </w:r>
    </w:p>
    <w:p>
      <w:pPr>
        <w:pStyle w:val="BodyText"/>
      </w:pPr>
      <w:r>
        <w:rPr>
          <w:bCs/>
          <w:b/>
        </w:rPr>
        <w:t xml:space="preserve">$699,400</w:t>
      </w:r>
    </w:p>
    <w:p>
      <w:pPr>
        <w:pStyle w:val="BodyText"/>
      </w:pPr>
      <w:r>
        <w:rPr>
          <w:bCs/>
          <w:b/>
        </w:rPr>
        <w:t xml:space="preserve">48%</w:t>
      </w:r>
    </w:p>
    <w:p>
      <w:pPr>
        <w:pStyle w:val="BodyText"/>
      </w:pPr>
      <w:r>
        <w:rPr>
          <w:iCs/>
          <w:i/>
        </w:rPr>
        <w:t xml:space="preserve">All Teacher Secondary Specializations</w:t>
      </w:r>
    </w:p>
    <w:bookmarkEnd w:id="26"/>
    <w:bookmarkStart w:id="27" w:name="strategic-challenges-solutions"/>
    <w:p>
      <w:pPr>
        <w:pStyle w:val="Heading2"/>
      </w:pPr>
      <w:r>
        <w:t xml:space="preserve">Strategic Challenges &amp; Solutions</w:t>
      </w:r>
    </w:p>
    <w:p>
      <w:pPr>
        <w:pStyle w:val="FirstParagraph"/>
      </w:pPr>
      <w:r>
        <w:t xml:space="preserve">Our Turkey Ankara operations faced three primary challenges that required immediate attention:</w:t>
      </w:r>
    </w:p>
    <w:p>
      <w:pPr>
        <w:numPr>
          <w:ilvl w:val="0"/>
          <w:numId w:val="1003"/>
        </w:numPr>
        <w:pStyle w:val="Compact"/>
      </w:pPr>
      <w:r>
        <w:rPr>
          <w:bCs/>
          <w:b/>
        </w:rPr>
        <w:t xml:space="preserve">Regulatory Compliance:</w:t>
      </w:r>
      <w:r>
        <w:t xml:space="preserve"> </w:t>
      </w:r>
      <w:r>
        <w:t xml:space="preserve">Navigating MEB's evolving teacher certification requirements. *Solution:* Established dedicated Ankara compliance team ensuring 100% regulatory alignment for all Teacher Secondary services.</w:t>
      </w:r>
    </w:p>
    <w:p>
      <w:pPr>
        <w:numPr>
          <w:ilvl w:val="0"/>
          <w:numId w:val="1003"/>
        </w:numPr>
        <w:pStyle w:val="Compact"/>
      </w:pPr>
      <w:r>
        <w:rPr>
          <w:bCs/>
          <w:b/>
        </w:rPr>
        <w:t xml:space="preserve">Cultural Adaptation:</w:t>
      </w:r>
      <w:r>
        <w:t xml:space="preserve"> </w:t>
      </w:r>
      <w:r>
        <w:t xml:space="preserve">Tailoring professional development to Turkish educational context. *Solution:* Partnered with Ankara University's Faculty of Education to co-develop culturally relevant training modules.</w:t>
      </w:r>
    </w:p>
    <w:p>
      <w:pPr>
        <w:numPr>
          <w:ilvl w:val="0"/>
          <w:numId w:val="1003"/>
        </w:numPr>
        <w:pStyle w:val="Compact"/>
      </w:pPr>
      <w:r>
        <w:rPr>
          <w:bCs/>
          <w:b/>
        </w:rPr>
        <w:t xml:space="preserve">Competition:</w:t>
      </w:r>
      <w:r>
        <w:t xml:space="preserve"> </w:t>
      </w:r>
      <w:r>
        <w:t xml:space="preserve">Increased market entrants in the Teacher Secondary sector. *Solution:* Implemented "Ankara Educator Advantage" loyalty program offering exclusive continuing education credits for registered secondary teachers.</w:t>
      </w:r>
    </w:p>
    <w:bookmarkEnd w:id="27"/>
    <w:bookmarkStart w:id="28" w:name="X143dc3b9d4008a0219e7c7981d96f4530b7db65"/>
    <w:p>
      <w:pPr>
        <w:pStyle w:val="Heading2"/>
      </w:pPr>
      <w:r>
        <w:t xml:space="preserve">Future Strategy: Scaling Teacher Secondary Excellence</w:t>
      </w:r>
    </w:p>
    <w:p>
      <w:pPr>
        <w:pStyle w:val="FirstParagraph"/>
      </w:pPr>
      <w:r>
        <w:t xml:space="preserve">Building on our Turkey Ankara success, the following strategies will drive future growth in the Teacher Secondary market:</w:t>
      </w:r>
    </w:p>
    <w:p>
      <w:pPr>
        <w:numPr>
          <w:ilvl w:val="0"/>
          <w:numId w:val="1004"/>
        </w:numPr>
        <w:pStyle w:val="Compact"/>
      </w:pPr>
      <w:r>
        <w:rPr>
          <w:bCs/>
          <w:b/>
        </w:rPr>
        <w:t xml:space="preserve">Expansion into Emerging Districts:</w:t>
      </w:r>
      <w:r>
        <w:t xml:space="preserve"> </w:t>
      </w:r>
      <w:r>
        <w:t xml:space="preserve">Targeting Yenimahalle and Gölbaşı districts where secondary school enrollment has increased by 17% YoY</w:t>
      </w:r>
    </w:p>
    <w:p>
      <w:pPr>
        <w:numPr>
          <w:ilvl w:val="0"/>
          <w:numId w:val="1004"/>
        </w:numPr>
        <w:pStyle w:val="Compact"/>
      </w:pPr>
      <w:r>
        <w:rPr>
          <w:bCs/>
          <w:b/>
        </w:rPr>
        <w:t xml:space="preserve">Digital Transformation Hub:</w:t>
      </w:r>
      <w:r>
        <w:t xml:space="preserve"> </w:t>
      </w:r>
      <w:r>
        <w:t xml:space="preserve">Launching Ankara's first Teacher Secondary Innovation Center in Q1 2025 for hands-on tech training</w:t>
      </w:r>
    </w:p>
    <w:p>
      <w:pPr>
        <w:numPr>
          <w:ilvl w:val="0"/>
          <w:numId w:val="1004"/>
        </w:numPr>
        <w:pStyle w:val="Compact"/>
      </w:pPr>
      <w:r>
        <w:rPr>
          <w:bCs/>
          <w:b/>
        </w:rPr>
        <w:t xml:space="preserve">Government Partnership Program:</w:t>
      </w:r>
      <w:r>
        <w:t xml:space="preserve"> </w:t>
      </w:r>
      <w:r>
        <w:t xml:space="preserve">Developing a formal agreement with MEB for standardized secondary teacher certification pathway</w:t>
      </w:r>
    </w:p>
    <w:p>
      <w:pPr>
        <w:numPr>
          <w:ilvl w:val="0"/>
          <w:numId w:val="1004"/>
        </w:numPr>
        <w:pStyle w:val="Compact"/>
      </w:pPr>
      <w:r>
        <w:rPr>
          <w:bCs/>
          <w:b/>
        </w:rPr>
        <w:t xml:space="preserve">Multilingual Support:</w:t>
      </w:r>
      <w:r>
        <w:t xml:space="preserve"> </w:t>
      </w:r>
      <w:r>
        <w:t xml:space="preserve">Adding Kurdish and Arabic language support for Teacher Secondary materials to serve Ankara's diverse student population</w:t>
      </w:r>
    </w:p>
    <w:bookmarkEnd w:id="28"/>
    <w:bookmarkStart w:id="29" w:name="conclusion-the-ankara-advantage"/>
    <w:p>
      <w:pPr>
        <w:pStyle w:val="Heading2"/>
      </w:pPr>
      <w:r>
        <w:t xml:space="preserve">Conclusion: The Ankara Advantage</w:t>
      </w:r>
    </w:p>
    <w:p>
      <w:pPr>
        <w:pStyle w:val="FirstParagraph"/>
      </w:pPr>
      <w:r>
        <w:t xml:space="preserve">This Sales Report unequivocally demonstrates that Turkey Ankara represents the most promising market for Teacher Secondary solutions in Turkey. Our strategic focus on this capital region has yielded exceptional results, with sales growth outperforming national averages by 23%. The convergence of educational reforms, infrastructure development in Ankara's secondary schools, and our culturally attuned services positions us for continued dominance. As we move into the next fiscal year, every initiative will be centered around amplifying our Teacher Secondary impact across Turkey Ankara—where quality education begins with exceptional teachers.</w:t>
      </w:r>
    </w:p>
    <w:p>
      <w:pPr>
        <w:pStyle w:val="BodyText"/>
      </w:pPr>
      <w:r>
        <w:t xml:space="preserve">"In the heart of Turkey, where education shapes tomorrow's leaders, our Teacher Secondary solutions are not just products—they're the foundation for Ankara's educational revolution."</w:t>
      </w:r>
      <w:r>
        <w:br/>
      </w:r>
      <w:r>
        <w:rPr>
          <w:iCs/>
          <w:i/>
        </w:rPr>
        <w:t xml:space="preserve">- Maria Kaya, Regional Sales Director, Educational Solutions International</w:t>
      </w:r>
    </w:p>
    <w:p>
      <w:pPr>
        <w:pStyle w:val="BodyText"/>
      </w:pPr>
      <w:r>
        <w:t xml:space="preserve">Report Date: October 26, 2024 | Total Words: 854 | Sales Report ID: TUR-ANK-TEACH-SR-Q3-2024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Market in Turkey Ankara</dc:title>
  <dc:creator/>
  <dc:language>en</dc:language>
  <cp:keywords/>
  <dcterms:created xsi:type="dcterms:W3CDTF">2025-12-11T06:31:26Z</dcterms:created>
  <dcterms:modified xsi:type="dcterms:W3CDTF">2025-12-11T06:31:26Z</dcterms:modified>
</cp:coreProperties>
</file>

<file path=docProps/custom.xml><?xml version="1.0" encoding="utf-8"?>
<Properties xmlns="http://schemas.openxmlformats.org/officeDocument/2006/custom-properties" xmlns:vt="http://schemas.openxmlformats.org/officeDocument/2006/docPropsVTypes"/>
</file>