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w:t>
      </w:r>
      <w:r>
        <w:t xml:space="preserve"> </w:t>
      </w:r>
      <w:r>
        <w:t xml:space="preserve">Istanbul</w:t>
      </w:r>
      <w:r>
        <w:t xml:space="preserve"> </w:t>
      </w:r>
      <w:r>
        <w:t xml:space="preserve">Turkey</w:t>
      </w:r>
    </w:p>
    <w:bookmarkStart w:id="27" w:name="X1590135382d7340b7fdadfccaafef4a7bc0fe7d"/>
    <w:p>
      <w:pPr>
        <w:pStyle w:val="Heading1"/>
      </w:pPr>
      <w:r>
        <w:t xml:space="preserve">Sales Report: Educational Solutions for Teacher Secondary in Istanbul, Turkey</w:t>
      </w:r>
    </w:p>
    <w:bookmarkStart w:id="20" w:name="executive-summary"/>
    <w:p>
      <w:pPr>
        <w:pStyle w:val="Heading2"/>
      </w:pPr>
      <w:r>
        <w:t xml:space="preserve">Executive Summary</w:t>
      </w:r>
    </w:p>
    <w:p>
      <w:pPr>
        <w:pStyle w:val="FirstParagraph"/>
      </w:pPr>
      <w:r>
        <w:t xml:space="preserve">This comprehensive Sales Report details the performance of our educational solutions targeting secondary school teachers across Istanbul, Turkey. Covering Q3 2023 (July-September), the report confirms significant growth in demand for specialized teaching resources within Turkey's expanding secondary education sector. With Istanbul serving as Turkey's educational hub housing over 1,800 public and private secondary schools, our Teacher Secondary product line achieved a remarkable 37% year-over-year revenue increase. This success underscores the growing recognition of tailored professional development tools specifically designed for Turkey's secondary educators in Istanbul's competitive academic landscape.</w:t>
      </w:r>
    </w:p>
    <w:bookmarkEnd w:id="20"/>
    <w:bookmarkStart w:id="21" w:name="X94f6f48d57ae06ed0e09c0c765be4b1f2b42c44"/>
    <w:p>
      <w:pPr>
        <w:pStyle w:val="Heading2"/>
      </w:pPr>
      <w:r>
        <w:t xml:space="preserve">Market Context: Teacher Secondary Landscape in Istanbul, Turkey</w:t>
      </w:r>
    </w:p>
    <w:p>
      <w:pPr>
        <w:pStyle w:val="FirstParagraph"/>
      </w:pPr>
      <w:r>
        <w:t xml:space="preserve">Istanbul's educational ecosystem presents unique opportunities and challenges for Teacher Secondary solutions. As the nation's most populous city with over 5.5 million students enrolled in secondary education, Istanbul represents 28% of Turkey's entire secondary school population. The Ministry of National Education (MEB) recent curriculum reforms emphasizing critical thinking and digital literacy have dramatically increased demand for specialized teacher training resources. Our market analysis confirms that 76% of Istanbul secondary schools now prioritize technology-integrated professional development – directly aligning with our Teacher Secondary product suite.</w:t>
      </w:r>
    </w:p>
    <w:p>
      <w:pPr>
        <w:pStyle w:val="BodyText"/>
      </w:pPr>
      <w:r>
        <w:t xml:space="preserve">Crucially, Istanbul's diverse educational environment – spanning elite private institutions like Robert College to state-funded schools in districts such as Kadıköy and Ümraniye – necessitates adaptable solutions. Our localized approach to Teacher Secondary content development (incorporating Turkish curriculum standards like "Milli Eğitim Bakanlığı'na Göre Ders Kitapları") has proven essential. The city's rapid urbanization has also intensified competition, making our data-driven sales strategy vital for capturing market share in this high-stakes environment.</w:t>
      </w:r>
    </w:p>
    <w:bookmarkEnd w:id="21"/>
    <w:bookmarkStart w:id="22" w:name="sales-performance-highlights"/>
    <w:p>
      <w:pPr>
        <w:pStyle w:val="Heading2"/>
      </w:pPr>
      <w:r>
        <w:t xml:space="preserve">Sales Performance Highlights</w:t>
      </w:r>
    </w:p>
    <w:p>
      <w:pPr>
        <w:pStyle w:val="FirstParagraph"/>
      </w:pPr>
      <w:r>
        <w:t xml:space="preserve">Product Line</w:t>
      </w:r>
    </w:p>
    <w:p>
      <w:pPr>
        <w:pStyle w:val="BodyText"/>
      </w:pPr>
      <w:r>
        <w:t xml:space="preserve">Q3 2023 Sales (₺)</w:t>
      </w:r>
    </w:p>
    <w:p>
      <w:pPr>
        <w:pStyle w:val="BodyText"/>
      </w:pPr>
      <w:r>
        <w:t xml:space="preserve">YoY Growth</w:t>
      </w:r>
    </w:p>
    <w:p>
      <w:pPr>
        <w:pStyle w:val="BodyText"/>
      </w:pPr>
      <w:r>
        <w:t xml:space="preserve">Key Istanbul Districts</w:t>
      </w:r>
    </w:p>
    <w:p>
      <w:pPr>
        <w:pStyle w:val="BodyText"/>
      </w:pPr>
      <w:r>
        <w:t xml:space="preserve">Digital Lesson Planning Toolkit (Teacher Secondary)</w:t>
      </w:r>
    </w:p>
    <w:p>
      <w:pPr>
        <w:pStyle w:val="BodyText"/>
      </w:pPr>
      <w:r>
        <w:t xml:space="preserve">1,850,000</w:t>
      </w:r>
    </w:p>
    <w:p>
      <w:pPr>
        <w:pStyle w:val="BodyText"/>
      </w:pPr>
      <w:r>
        <w:t xml:space="preserve">+42%</w:t>
      </w:r>
    </w:p>
    <w:p>
      <w:pPr>
        <w:pStyle w:val="BodyText"/>
      </w:pPr>
      <w:r>
        <w:t xml:space="preserve">Bakırköy, Beşiktaş, Şişli</w:t>
      </w:r>
    </w:p>
    <w:p>
      <w:pPr>
        <w:pStyle w:val="BodyText"/>
      </w:pPr>
      <w:r>
        <w:t xml:space="preserve">Subject-Specific Workshop Series (Secondary)</w:t>
      </w:r>
    </w:p>
    <w:p>
      <w:pPr>
        <w:pStyle w:val="BodyText"/>
      </w:pPr>
      <w:r>
        <w:t xml:space="preserve">985,000</w:t>
      </w:r>
    </w:p>
    <w:p>
      <w:pPr>
        <w:pStyle w:val="BodyText"/>
      </w:pPr>
      <w:r>
        <w:t xml:space="preserve">+31%</w:t>
      </w:r>
    </w:p>
    <w:p>
      <w:pPr>
        <w:pStyle w:val="BodyText"/>
      </w:pPr>
      <w:r>
        <w:t xml:space="preserve">Eyüp, Fatih, Sultanbeyli</w:t>
      </w:r>
    </w:p>
    <w:p>
      <w:pPr>
        <w:pStyle w:val="BodyText"/>
      </w:pPr>
      <w:r>
        <w:t xml:space="preserve">Assessment Analytics Platform (Teacher Secondary)</w:t>
      </w:r>
    </w:p>
    <w:p>
      <w:pPr>
        <w:pStyle w:val="BodyText"/>
      </w:pPr>
      <w:r>
        <w:t xml:space="preserve">1,275,00037%</w:t>
      </w:r>
    </w:p>
    <w:p>
      <w:pPr>
        <w:pStyle w:val="BodyText"/>
      </w:pPr>
      <w:r>
        <w:t xml:space="preserve">Maltepe, Üsküdar, Kartal</w:t>
      </w:r>
    </w:p>
    <w:p>
      <w:pPr>
        <w:pStyle w:val="BodyText"/>
      </w:pPr>
      <w:r>
        <w:rPr>
          <w:bCs/>
          <w:b/>
        </w:rPr>
        <w:t xml:space="preserve">Total Teacher Secondary Revenue</w:t>
      </w:r>
    </w:p>
    <w:p>
      <w:pPr>
        <w:pStyle w:val="BodyText"/>
      </w:pPr>
      <w:r>
        <w:rPr>
          <w:bCs/>
          <w:b/>
        </w:rPr>
        <w:t xml:space="preserve">4,110,000</w:t>
      </w:r>
    </w:p>
    <w:p>
      <w:pPr>
        <w:pStyle w:val="BodyText"/>
      </w:pPr>
      <w:r>
        <w:rPr>
          <w:bCs/>
          <w:b/>
        </w:rPr>
        <w:t xml:space="preserve">+37%</w:t>
      </w:r>
    </w:p>
    <w:p>
      <w:pPr>
        <w:pStyle w:val="BodyText"/>
      </w:pPr>
      <w:r>
        <w:rPr>
          <w:iCs/>
          <w:i/>
        </w:rPr>
        <w:t xml:space="preserve">Istanbul-wide coverage</w:t>
      </w:r>
    </w:p>
    <w:p>
      <w:pPr>
        <w:pStyle w:val="BodyText"/>
      </w:pPr>
      <w:r>
        <w:t xml:space="preserve">The Digital Lesson Planning Toolkit emerged as our flagship Teacher Secondary solution in Istanbul, driven by the MEB's digital transformation mandate. Schools in upscale districts (Bakırköy, Beşiktaş) purchased 58% of all units – demonstrating premium segment demand. Meanwhile, our Subject-Specific Workshop Series gained traction in government schools across Eyüp and Fatih following successful pilot programs at Istanbul University-affiliated secondary institutions.</w:t>
      </w:r>
    </w:p>
    <w:bookmarkEnd w:id="22"/>
    <w:bookmarkStart w:id="23" w:name="strategic-initiatives-driving-success"/>
    <w:p>
      <w:pPr>
        <w:pStyle w:val="Heading2"/>
      </w:pPr>
      <w:r>
        <w:t xml:space="preserve">Strategic Initiatives Driving Success</w:t>
      </w:r>
    </w:p>
    <w:p>
      <w:pPr>
        <w:pStyle w:val="FirstParagraph"/>
      </w:pPr>
      <w:r>
        <w:t xml:space="preserve">Several targeted strategies specifically tailored to the Teacher Secondary market in Turkey Istanbul delivered exceptional results:</w:t>
      </w:r>
    </w:p>
    <w:p>
      <w:pPr>
        <w:numPr>
          <w:ilvl w:val="0"/>
          <w:numId w:val="1001"/>
        </w:numPr>
        <w:pStyle w:val="Compact"/>
      </w:pPr>
      <w:r>
        <w:rPr>
          <w:bCs/>
          <w:b/>
        </w:rPr>
        <w:t xml:space="preserve">Cultural Localization:</w:t>
      </w:r>
      <w:r>
        <w:t xml:space="preserve"> </w:t>
      </w:r>
      <w:r>
        <w:t xml:space="preserve">All Teacher Secondary materials were adapted with Turkish pedagogical frameworks, including integration of "Bilim ve Teknoloji" (Science and Technology) modules mandated by MEB. This resonated particularly well with Istanbul teachers seeking curriculum-compliant resources.</w:t>
      </w:r>
    </w:p>
    <w:p>
      <w:pPr>
        <w:numPr>
          <w:ilvl w:val="0"/>
          <w:numId w:val="1001"/>
        </w:numPr>
        <w:pStyle w:val="Compact"/>
      </w:pPr>
      <w:r>
        <w:rPr>
          <w:bCs/>
          <w:b/>
        </w:rPr>
        <w:t xml:space="preserve">District-Specific Sales Teams:</w:t>
      </w:r>
      <w:r>
        <w:t xml:space="preserve"> </w:t>
      </w:r>
      <w:r>
        <w:t xml:space="preserve">We deployed 12 specialized sales representatives covering Istanbul's 39 districts, enabling hyper-localized outreach. The Ümraniye team achieved 63% market penetration in secondary schools within their zone by partnering with the Istanbul Education District Office.</w:t>
      </w:r>
    </w:p>
    <w:p>
      <w:pPr>
        <w:numPr>
          <w:ilvl w:val="0"/>
          <w:numId w:val="1001"/>
        </w:numPr>
        <w:pStyle w:val="Compact"/>
      </w:pPr>
      <w:r>
        <w:rPr>
          <w:bCs/>
          <w:b/>
        </w:rPr>
        <w:t xml:space="preserve">Government Partnership Program:</w:t>
      </w:r>
      <w:r>
        <w:t xml:space="preserve"> </w:t>
      </w:r>
      <w:r>
        <w:t xml:space="preserve">Securing a strategic agreement with the Istanbul Provincial Directorate of National Education for Teacher Secondary workshops led to institutional contracts covering 215 schools – representing 14% of total Q3 revenue.</w:t>
      </w:r>
    </w:p>
    <w:p>
      <w:pPr>
        <w:numPr>
          <w:ilvl w:val="0"/>
          <w:numId w:val="1001"/>
        </w:numPr>
        <w:pStyle w:val="Compact"/>
      </w:pPr>
      <w:r>
        <w:rPr>
          <w:bCs/>
          <w:b/>
        </w:rPr>
        <w:t xml:space="preserve">Digital Onboarding:</w:t>
      </w:r>
      <w:r>
        <w:t xml:space="preserve"> </w:t>
      </w:r>
      <w:r>
        <w:t xml:space="preserve">Implementation of our mobile-first Teacher Secondary portal reduced onboarding time by 70%, a critical factor in Istanbul's fast-paced academic calendar where teacher turnover exceeds national averages.</w:t>
      </w:r>
    </w:p>
    <w:bookmarkEnd w:id="23"/>
    <w:bookmarkStart w:id="24" w:name="challenges-and-mitigation-strategies"/>
    <w:p>
      <w:pPr>
        <w:pStyle w:val="Heading2"/>
      </w:pPr>
      <w:r>
        <w:t xml:space="preserve">Challenges and Mitigation Strategies</w:t>
      </w:r>
    </w:p>
    <w:p>
      <w:pPr>
        <w:pStyle w:val="FirstParagraph"/>
      </w:pPr>
      <w:r>
        <w:t xml:space="preserve">Despite strong performance, we encountered significant hurdles specific to the Turkey Istanbul market:</w:t>
      </w:r>
    </w:p>
    <w:p>
      <w:pPr>
        <w:pStyle w:val="BodyText"/>
      </w:pPr>
      <w:r>
        <w:rPr>
          <w:bCs/>
          <w:b/>
        </w:rPr>
        <w:t xml:space="preserve">Challenge 1:</w:t>
      </w:r>
      <w:r>
        <w:t xml:space="preserve"> </w:t>
      </w:r>
      <w:r>
        <w:t xml:space="preserve">Late-summer academic calendar disruptions in Istanbul (mid-July school closures for religious holidays) delayed 23% of Q3 sales cycles.</w:t>
      </w:r>
      <w:r>
        <w:t xml:space="preserve"> </w:t>
      </w:r>
      <w:r>
        <w:rPr>
          <w:iCs/>
          <w:i/>
        </w:rPr>
        <w:t xml:space="preserve">Mitigation:</w:t>
      </w:r>
      <w:r>
        <w:t xml:space="preserve"> </w:t>
      </w:r>
      <w:r>
        <w:t xml:space="preserve">Implemented flexible payment plans and accelerated digital delivery for Teacher Secondary products, recovering 92% of lost opportunities through targeted September campaigns.</w:t>
      </w:r>
    </w:p>
    <w:p>
      <w:pPr>
        <w:pStyle w:val="BodyText"/>
      </w:pPr>
      <w:r>
        <w:rPr>
          <w:bCs/>
          <w:b/>
        </w:rPr>
        <w:t xml:space="preserve">Challenge 2:</w:t>
      </w:r>
      <w:r>
        <w:t xml:space="preserve"> </w:t>
      </w:r>
      <w:r>
        <w:t xml:space="preserve">Currency volatility impacting cost structures for imported Teacher Secondary materials.</w:t>
      </w:r>
      <w:r>
        <w:t xml:space="preserve"> </w:t>
      </w:r>
      <w:r>
        <w:rPr>
          <w:iCs/>
          <w:i/>
        </w:rPr>
        <w:t xml:space="preserve">Mitigation:</w:t>
      </w:r>
      <w:r>
        <w:t xml:space="preserve"> </w:t>
      </w:r>
      <w:r>
        <w:t xml:space="preserve">Localized production partnership with Istanbul-based EdTech startup "EduSistem" reduced import dependency by 65% and stabilized pricing for Turkey's market.</w:t>
      </w:r>
    </w:p>
    <w:p>
      <w:pPr>
        <w:pStyle w:val="BodyText"/>
      </w:pPr>
      <w:r>
        <w:rPr>
          <w:bCs/>
          <w:b/>
        </w:rPr>
        <w:t xml:space="preserve">Challenge 3:</w:t>
      </w:r>
      <w:r>
        <w:t xml:space="preserve"> </w:t>
      </w:r>
      <w:r>
        <w:t xml:space="preserve">Intense competition from local Turkish education providers offering cheaper Teacher Secondary solutions.</w:t>
      </w:r>
      <w:r>
        <w:t xml:space="preserve"> </w:t>
      </w:r>
      <w:r>
        <w:rPr>
          <w:iCs/>
          <w:i/>
        </w:rPr>
        <w:t xml:space="preserve">Mitigation:</w:t>
      </w:r>
      <w:r>
        <w:t xml:space="preserve"> </w:t>
      </w:r>
      <w:r>
        <w:t xml:space="preserve">Launched our "Istanbul Educator Premium" bundle featuring MEB-approved certifications – increasing average transaction value by 41% while differentiating against generic offerings.</w:t>
      </w:r>
    </w:p>
    <w:bookmarkEnd w:id="24"/>
    <w:bookmarkStart w:id="25" w:name="strategic-recommendations-for-q4-2023"/>
    <w:p>
      <w:pPr>
        <w:pStyle w:val="Heading2"/>
      </w:pPr>
      <w:r>
        <w:t xml:space="preserve">Strategic Recommendations for Q4 2023</w:t>
      </w:r>
    </w:p>
    <w:p>
      <w:pPr>
        <w:numPr>
          <w:ilvl w:val="0"/>
          <w:numId w:val="1002"/>
        </w:numPr>
        <w:pStyle w:val="Compact"/>
      </w:pPr>
      <w:r>
        <w:rPr>
          <w:bCs/>
          <w:b/>
        </w:rPr>
        <w:t xml:space="preserve">Expand Istanbul District Coverage:</w:t>
      </w:r>
      <w:r>
        <w:t xml:space="preserve"> </w:t>
      </w:r>
      <w:r>
        <w:t xml:space="preserve">Target district education offices in underpenetrated zones (Güngören, Sultangazi) with free Teacher Secondary pilot programs to achieve 50% market coverage across all Istanbul secondary schools by Q1 2024.</w:t>
      </w:r>
    </w:p>
    <w:p>
      <w:pPr>
        <w:numPr>
          <w:ilvl w:val="0"/>
          <w:numId w:val="1002"/>
        </w:numPr>
        <w:pStyle w:val="Compact"/>
      </w:pPr>
      <w:r>
        <w:rPr>
          <w:bCs/>
          <w:b/>
        </w:rPr>
        <w:t xml:space="preserve">Develop Turkish-Language AI Tools:</w:t>
      </w:r>
      <w:r>
        <w:t xml:space="preserve"> </w:t>
      </w:r>
      <w:r>
        <w:t xml:space="preserve">Launch an AI-powered lesson planner integrated with "Ders Kitapları" (textbooks) specific to Istanbul's secondary curriculum – addressing a critical unmet need identified in our teacher surveys.</w:t>
      </w:r>
    </w:p>
    <w:p>
      <w:pPr>
        <w:numPr>
          <w:ilvl w:val="0"/>
          <w:numId w:val="1002"/>
        </w:numPr>
        <w:pStyle w:val="Compact"/>
      </w:pPr>
      <w:r>
        <w:rPr>
          <w:bCs/>
          <w:b/>
        </w:rPr>
        <w:t xml:space="preserve">Create Teacher Secondary Ambassador Network:</w:t>
      </w:r>
      <w:r>
        <w:t xml:space="preserve"> </w:t>
      </w:r>
      <w:r>
        <w:t xml:space="preserve">Recruit 50 influential secondary school teachers across Istanbul to co-develop content, leveraging their credibility within the city's educator communities.</w:t>
      </w:r>
    </w:p>
    <w:p>
      <w:pPr>
        <w:numPr>
          <w:ilvl w:val="0"/>
          <w:numId w:val="1002"/>
        </w:numPr>
        <w:pStyle w:val="Compact"/>
      </w:pPr>
      <w:r>
        <w:rPr>
          <w:bCs/>
          <w:b/>
        </w:rPr>
        <w:t xml:space="preserve">Secure Ministry Partnership:</w:t>
      </w:r>
      <w:r>
        <w:t xml:space="preserve"> </w:t>
      </w:r>
      <w:r>
        <w:t xml:space="preserve">Pursue official MEB endorsement for our Teacher Secondary suite to unlock nationwide distribution opportunities beyond Istanbul.</w:t>
      </w:r>
    </w:p>
    <w:bookmarkEnd w:id="25"/>
    <w:bookmarkStart w:id="26" w:name="conclusion"/>
    <w:p>
      <w:pPr>
        <w:pStyle w:val="Heading2"/>
      </w:pPr>
      <w:r>
        <w:t xml:space="preserve">Conclusion</w:t>
      </w:r>
    </w:p>
    <w:p>
      <w:pPr>
        <w:pStyle w:val="FirstParagraph"/>
      </w:pPr>
      <w:r>
        <w:t xml:space="preserve">The Q3 2023 Sales Report for Teacher Secondary solutions in Turkey Istanbul unequivocally demonstrates market readiness for specialized educator support. With Istanbul's secondary education sector projected to grow at 4.8% annually (per World Bank data), our strategic focus on culturally attuned, curriculum-aligned Teacher Secondary products has positioned us as the leading provider in this high-potential market. The 37% revenue growth proves that educators across Istanbul recognize value in solutions designed specifically for their context – from Fatih's historic schools to Kadıköy's innovative learning centers.</w:t>
      </w:r>
    </w:p>
    <w:p>
      <w:pPr>
        <w:pStyle w:val="BodyText"/>
      </w:pPr>
      <w:r>
        <w:t xml:space="preserve">Moving forward, we will deepen our commitment to the Teacher Secondary segment through hyper-localized engagement and continued innovation. Our partnership with Istanbul's educational ecosystem isn't just business – it's an investment in Turkey's future educators. As one of our most successful Istanbul teachers noted during Q3 feedback sessions: "This isn't just another teaching tool; it’s a solution designed by someone who understands the challenges we face in Istanbul classrooms." This sentiment, reflected across 728 teacher surveys, remains the cornerstone of our strategy for sustained growth in Turkey's premier educational market.</w:t>
      </w:r>
    </w:p>
    <w:p>
      <w:pPr>
        <w:pStyle w:val="BodyText"/>
      </w:pPr>
      <w:r>
        <w:rPr>
          <w:bCs/>
          <w:b/>
        </w:rPr>
        <w:t xml:space="preserve">Prepared For:</w:t>
      </w:r>
      <w:r>
        <w:t xml:space="preserve"> </w:t>
      </w:r>
      <w:r>
        <w:t xml:space="preserve">Executive Leadership Team</w:t>
      </w:r>
      <w:r>
        <w:br/>
      </w:r>
      <w:r>
        <w:rPr>
          <w:bCs/>
          <w:b/>
        </w:rPr>
        <w:t xml:space="preserve">Date:</w:t>
      </w:r>
      <w:r>
        <w:t xml:space="preserve"> </w:t>
      </w:r>
      <w:r>
        <w:t xml:space="preserve">October 15, 2023</w:t>
      </w:r>
      <w:r>
        <w:br/>
      </w:r>
      <w:r>
        <w:rPr>
          <w:bCs/>
          <w:b/>
        </w:rPr>
        <w:t xml:space="preserve">Report Period:</w:t>
      </w:r>
      <w:r>
        <w:t xml:space="preserve"> </w:t>
      </w:r>
      <w:r>
        <w:t xml:space="preserve">July 1 - September 30,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 Istanbul Turkey</dc:title>
  <dc:creator/>
  <dc:language>en</dc:language>
  <cp:keywords/>
  <dcterms:created xsi:type="dcterms:W3CDTF">2026-07-23T08:32:29Z</dcterms:created>
  <dcterms:modified xsi:type="dcterms:W3CDTF">2026-07-23T08:32:29Z</dcterms:modified>
</cp:coreProperties>
</file>

<file path=docProps/custom.xml><?xml version="1.0" encoding="utf-8"?>
<Properties xmlns="http://schemas.openxmlformats.org/officeDocument/2006/custom-properties" xmlns:vt="http://schemas.openxmlformats.org/officeDocument/2006/docPropsVTypes"/>
</file>