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Dubai,</w:t>
      </w:r>
      <w:r>
        <w:t xml:space="preserve"> </w:t>
      </w:r>
      <w:r>
        <w:t xml:space="preserve">UAE</w:t>
      </w:r>
    </w:p>
    <w:bookmarkStart w:id="31" w:name="Xf8653f7c7d0787e9363825f4863bc6af2087c1f"/>
    <w:p>
      <w:pPr>
        <w:pStyle w:val="Heading1"/>
      </w:pPr>
      <w:r>
        <w:t xml:space="preserve">Q3 2023 Teacher Secondary Sales Performance Report</w:t>
      </w:r>
    </w:p>
    <w:p>
      <w:pPr>
        <w:pStyle w:val="FirstParagraph"/>
      </w:pPr>
      <w:r>
        <w:rPr>
          <w:bCs/>
          <w:b/>
        </w:rPr>
        <w:t xml:space="preserve">Prepared For:</w:t>
      </w:r>
      <w:r>
        <w:t xml:space="preserve"> </w:t>
      </w:r>
      <w:r>
        <w:t xml:space="preserve">Executive Leadership, United Arab Emirates Dubai Education Sector</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p>
    <w:bookmarkStart w:id="20" w:name="Xc33d1f0b2e3494c33f98be3f7006808631d61b9"/>
    <w:p>
      <w:pPr>
        <w:pStyle w:val="Heading2"/>
      </w:pPr>
      <w:r>
        <w:t xml:space="preserve">Executive Summary: Teacher Secondary Recruitment Success in Dubai</w:t>
      </w:r>
    </w:p>
    <w:p>
      <w:pPr>
        <w:pStyle w:val="FirstParagraph"/>
      </w:pPr>
      <w:r>
        <w:t xml:space="preserve">This comprehensive Sales Report details the remarkable achievements of our Teacher Secondary recruitment division within the United Arab Emirates Dubai education market. During Q3 2023, we achieved a 37% year-on-year growth in secondary teacher placements across Dubai's premium international and private schools. The report underscores how our specialized focus on</w:t>
      </w:r>
      <w:r>
        <w:t xml:space="preserve"> </w:t>
      </w:r>
      <w:r>
        <w:rPr>
          <w:bCs/>
          <w:b/>
        </w:rPr>
        <w:t xml:space="preserve">Teacher Secondary</w:t>
      </w:r>
      <w:r>
        <w:t xml:space="preserve"> </w:t>
      </w:r>
      <w:r>
        <w:t xml:space="preserve">solutions directly addresses the critical staffing needs of Dubai's rapidly expanding educational ecosystem, positioning us as the premier recruitment partner for</w:t>
      </w:r>
      <w:r>
        <w:t xml:space="preserve"> </w:t>
      </w:r>
      <w:r>
        <w:rPr>
          <w:iCs/>
          <w:i/>
        </w:rPr>
        <w:t xml:space="preserve">United Arab Emirates Dubai</w:t>
      </w:r>
      <w:r>
        <w:t xml:space="preserve">'s academic institutions.</w:t>
      </w:r>
    </w:p>
    <w:p>
      <w:pPr>
        <w:pStyle w:val="BodyText"/>
      </w:pPr>
      <w:r>
        <w:t xml:space="preserve">Our strategic alignment with Dubai's vision for world-class education has driven exceptional results, securing 142 qualified secondary teachers across 38 institutions including renowned schools such as GEMS Education, Nord Anglia, and Dubai British School. This represents a record-breaking quarter for</w:t>
      </w:r>
      <w:r>
        <w:t xml:space="preserve"> </w:t>
      </w:r>
      <w:r>
        <w:rPr>
          <w:bCs/>
          <w:b/>
        </w:rPr>
        <w:t xml:space="preserve">Teacher Secondary</w:t>
      </w:r>
      <w:r>
        <w:t xml:space="preserve"> </w:t>
      </w:r>
      <w:r>
        <w:t xml:space="preserve">placements in the</w:t>
      </w:r>
      <w:r>
        <w:t xml:space="preserve"> </w:t>
      </w:r>
      <w:r>
        <w:rPr>
          <w:iCs/>
          <w:i/>
        </w:rPr>
        <w:t xml:space="preserve">United Arab Emirates Dubai</w:t>
      </w:r>
      <w:r>
        <w:t xml:space="preserve"> </w:t>
      </w:r>
      <w:r>
        <w:t xml:space="preserve">market, generating $1.86M in revenue from placement fees alone.</w:t>
      </w:r>
    </w:p>
    <w:bookmarkEnd w:id="20"/>
    <w:bookmarkStart w:id="21" w:name="X898b189c0800d4d8c38b4b4b99c7e0607359252"/>
    <w:p>
      <w:pPr>
        <w:pStyle w:val="Heading2"/>
      </w:pPr>
      <w:r>
        <w:t xml:space="preserve">I. Market Context: Teacher Secondary Demand in Dubai</w:t>
      </w:r>
    </w:p>
    <w:p>
      <w:pPr>
        <w:pStyle w:val="FirstParagraph"/>
      </w:pPr>
      <w:r>
        <w:t xml:space="preserve">The United Arab Emirates Dubai education sector continues its unprecedented growth trajectory, with secondary school enrollment increasing by 18% annually (Dubai Knowledge and Human Development Authority, 2023). This surge creates critical demand for specialized</w:t>
      </w:r>
      <w:r>
        <w:t xml:space="preserve"> </w:t>
      </w:r>
      <w:r>
        <w:rPr>
          <w:bCs/>
          <w:b/>
        </w:rPr>
        <w:t xml:space="preserve">Teacher Secondary</w:t>
      </w:r>
      <w:r>
        <w:t xml:space="preserve"> </w:t>
      </w:r>
      <w:r>
        <w:t xml:space="preserve">professionals across STEM, humanities, and vocational disciplines. Our market analysis confirms Dubai schools face acute shortages in:</w:t>
      </w:r>
    </w:p>
    <w:p>
      <w:pPr>
        <w:numPr>
          <w:ilvl w:val="0"/>
          <w:numId w:val="1001"/>
        </w:numPr>
        <w:pStyle w:val="Compact"/>
      </w:pPr>
      <w:r>
        <w:t xml:space="preserve">STEM Specialties (Physics, Chemistry): 68% vacancy rate</w:t>
      </w:r>
    </w:p>
    <w:p>
      <w:pPr>
        <w:numPr>
          <w:ilvl w:val="0"/>
          <w:numId w:val="1001"/>
        </w:numPr>
        <w:pStyle w:val="Compact"/>
      </w:pPr>
      <w:r>
        <w:t xml:space="preserve">Arabic Language Instruction: 52% vacancy rate</w:t>
      </w:r>
    </w:p>
    <w:p>
      <w:pPr>
        <w:numPr>
          <w:ilvl w:val="0"/>
          <w:numId w:val="1001"/>
        </w:numPr>
        <w:pStyle w:val="Compact"/>
      </w:pPr>
      <w:r>
        <w:t xml:space="preserve">Special Education Secondary: 41% vacancy rate</w:t>
      </w:r>
    </w:p>
    <w:p>
      <w:pPr>
        <w:pStyle w:val="FirstParagraph"/>
      </w:pPr>
      <w:r>
        <w:t xml:space="preserve">This demand landscape directly informs our strategic focus on delivering targeted</w:t>
      </w:r>
      <w:r>
        <w:t xml:space="preserve"> </w:t>
      </w:r>
      <w:r>
        <w:rPr>
          <w:bCs/>
          <w:b/>
        </w:rPr>
        <w:t xml:space="preserve">Teacher Secondary</w:t>
      </w:r>
      <w:r>
        <w:t xml:space="preserve"> </w:t>
      </w:r>
      <w:r>
        <w:t xml:space="preserve">solutions throughout the Dubai region, where educational authorities prioritize curriculum alignment with UAE Vision 2030's knowledge-based economy goals.</w:t>
      </w:r>
    </w:p>
    <w:bookmarkEnd w:id="21"/>
    <w:bookmarkStart w:id="23" w:name="Xc0438197ad921a5f55b7ac1508dd6aec2dba739"/>
    <w:p>
      <w:pPr>
        <w:pStyle w:val="Heading2"/>
      </w:pPr>
      <w:r>
        <w:t xml:space="preserve">II. Q3 Sales Performance: Teacher Secondary in United Arab Emirates Dubai</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rPr>
                <w:bCs/>
                <w:b/>
              </w:rPr>
              <w:t xml:space="preserve">Secondary Teacher Placements (Dubai)</w:t>
            </w:r>
          </w:p>
        </w:tc>
        <w:tc>
          <w:tcPr/>
          <w:p>
            <w:pPr>
              <w:pStyle w:val="Compact"/>
              <w:jc w:val="left"/>
            </w:pPr>
            <w:r>
              <w:t xml:space="preserve">142</w:t>
            </w:r>
          </w:p>
        </w:tc>
        <w:tc>
          <w:tcPr/>
          <w:p>
            <w:pPr>
              <w:pStyle w:val="Compact"/>
              <w:jc w:val="left"/>
            </w:pPr>
            <w:r>
              <w:t xml:space="preserve">103</w:t>
            </w:r>
          </w:p>
        </w:tc>
        <w:tc>
          <w:tcPr/>
          <w:p>
            <w:pPr>
              <w:pStyle w:val="Compact"/>
              <w:jc w:val="left"/>
            </w:pPr>
            <w:r>
              <w:t xml:space="preserve">+37.9%</w:t>
            </w:r>
          </w:p>
        </w:tc>
      </w:tr>
      <w:tr>
        <w:tc>
          <w:tcPr/>
          <w:p>
            <w:pPr>
              <w:pStyle w:val="Compact"/>
              <w:jc w:val="left"/>
            </w:pPr>
            <w:r>
              <w:rPr>
                <w:bCs/>
                <w:b/>
              </w:rPr>
              <w:t xml:space="preserve">Revenue Generated ($)</w:t>
            </w:r>
          </w:p>
        </w:tc>
        <w:tc>
          <w:tcPr/>
          <w:p>
            <w:pPr>
              <w:pStyle w:val="Compact"/>
              <w:jc w:val="left"/>
            </w:pPr>
            <w:r>
              <w:t xml:space="preserve">$1,862,400</w:t>
            </w:r>
          </w:p>
        </w:tc>
        <w:tc>
          <w:tcPr/>
          <w:p>
            <w:pPr>
              <w:pStyle w:val="Compact"/>
              <w:jc w:val="left"/>
            </w:pPr>
            <w:r>
              <w:t xml:space="preserve">$1,358,700</w:t>
            </w:r>
          </w:p>
        </w:tc>
        <w:tc>
          <w:tcPr/>
          <w:p>
            <w:pPr>
              <w:pStyle w:val="Compact"/>
              <w:jc w:val="left"/>
            </w:pPr>
            <w:r>
              <w:t xml:space="preserve">+37.1%</w:t>
            </w:r>
          </w:p>
        </w:tc>
      </w:tr>
      <w:tr>
        <w:tc>
          <w:tcPr/>
          <w:p>
            <w:pPr>
              <w:pStyle w:val="Compact"/>
              <w:jc w:val="left"/>
            </w:pPr>
            <w:r>
              <w:rPr>
                <w:bCs/>
                <w:b/>
              </w:rPr>
              <w:t xml:space="preserve">Client Schools Served (Dubai)</w:t>
            </w:r>
          </w:p>
        </w:tc>
        <w:tc>
          <w:tcPr/>
          <w:p>
            <w:pPr>
              <w:pStyle w:val="Compact"/>
              <w:jc w:val="left"/>
            </w:pPr>
            <w:r>
              <w:t xml:space="preserve">38</w:t>
            </w:r>
          </w:p>
        </w:tc>
        <w:tc>
          <w:tcPr/>
          <w:p>
            <w:pPr>
              <w:pStyle w:val="Compact"/>
              <w:jc w:val="left"/>
            </w:pPr>
            <w:r>
              <w:t xml:space="preserve">29</w:t>
            </w:r>
          </w:p>
        </w:tc>
        <w:tc>
          <w:tcPr/>
          <w:p>
            <w:pPr>
              <w:pStyle w:val="Compact"/>
              <w:jc w:val="left"/>
            </w:pPr>
            <w:r>
              <w:t xml:space="preserve">+31.0%</w:t>
            </w:r>
          </w:p>
        </w:tc>
      </w:tr>
      <w:tr>
        <w:tc>
          <w:tcPr/>
          <w:p>
            <w:pPr>
              <w:pStyle w:val="Compact"/>
              <w:jc w:val="left"/>
            </w:pPr>
            <w:r>
              <w:rPr>
                <w:bCs/>
                <w:b/>
              </w:rPr>
              <w:t xml:space="preserve">Placement Success Rate</w:t>
            </w:r>
          </w:p>
        </w:tc>
        <w:tc>
          <w:tcPr/>
          <w:p>
            <w:pPr>
              <w:pStyle w:val="Compact"/>
              <w:jc w:val="left"/>
            </w:pPr>
            <w:r>
              <w:t xml:space="preserve">94.7%</w:t>
            </w:r>
          </w:p>
        </w:tc>
        <w:tc>
          <w:tcPr/>
          <w:p>
            <w:pPr>
              <w:pStyle w:val="Compact"/>
              <w:jc w:val="left"/>
            </w:pPr>
            <w:r>
              <w:t xml:space="preserve">89.2%</w:t>
            </w:r>
          </w:p>
        </w:tc>
        <w:tc>
          <w:tcPr/>
          <w:p>
            <w:pPr>
              <w:pStyle w:val="Compact"/>
              <w:jc w:val="left"/>
            </w:pPr>
            <w:r>
              <w:t xml:space="preserve">+5.5 pts</w:t>
            </w:r>
          </w:p>
        </w:tc>
      </w:tr>
    </w:tbl>
    <w:bookmarkStart w:id="22" w:name="X9582a26a6aa218a45cb1127e910193bfb31130b"/>
    <w:p>
      <w:pPr>
        <w:pStyle w:val="Heading3"/>
      </w:pPr>
      <w:r>
        <w:t xml:space="preserve">Key Growth Drivers for Teacher Secondary Sales:</w:t>
      </w:r>
    </w:p>
    <w:p>
      <w:pPr>
        <w:pStyle w:val="FirstParagraph"/>
      </w:pPr>
      <w:r>
        <w:rPr>
          <w:bCs/>
          <w:b/>
        </w:rPr>
        <w:t xml:space="preserve">Dubai-Specific Initiatives:</w:t>
      </w:r>
      <w:r>
        <w:t xml:space="preserve"> </w:t>
      </w:r>
      <w:r>
        <w:t xml:space="preserve">Our partnership with Dubai Future Foundation's "Education Innovation Hub" enabled targeted recruitment drives for STEM secondary teachers, directly addressing a critical shortage identified in the Dubai Education Blueprint 2021-2026.</w:t>
      </w:r>
    </w:p>
    <w:p>
      <w:pPr>
        <w:pStyle w:val="BodyText"/>
      </w:pPr>
      <w:r>
        <w:rPr>
          <w:bCs/>
          <w:b/>
        </w:rPr>
        <w:t xml:space="preserve">Quality Assurance:</w:t>
      </w:r>
      <w:r>
        <w:t xml:space="preserve"> </w:t>
      </w:r>
      <w:r>
        <w:t xml:space="preserve">Implementation of Dubai Knowledge and Human Development Authority (KHDA) compliance protocols increased client trust, leading to 78% repeat business from schools previously served in</w:t>
      </w:r>
      <w:r>
        <w:t xml:space="preserve"> </w:t>
      </w:r>
      <w:r>
        <w:rPr>
          <w:iCs/>
          <w:i/>
        </w:rPr>
        <w:t xml:space="preserve">United Arab Emirates Dubai</w:t>
      </w:r>
      <w:r>
        <w:t xml:space="preserve">.</w:t>
      </w:r>
    </w:p>
    <w:p>
      <w:pPr>
        <w:pStyle w:val="BodyText"/>
      </w:pPr>
      <w:r>
        <w:rPr>
          <w:bCs/>
          <w:b/>
        </w:rPr>
        <w:t xml:space="preserve">Nationalization Focus:</w:t>
      </w:r>
      <w:r>
        <w:t xml:space="preserve"> </w:t>
      </w:r>
      <w:r>
        <w:t xml:space="preserve">Successful recruitment of UAE-certified secondary teachers (23 placements) aligned with UAE's Emiratization strategy, making our</w:t>
      </w:r>
      <w:r>
        <w:t xml:space="preserve"> </w:t>
      </w:r>
      <w:r>
        <w:rPr>
          <w:bCs/>
          <w:b/>
        </w:rPr>
        <w:t xml:space="preserve">Teacher Secondary</w:t>
      </w:r>
      <w:r>
        <w:t xml:space="preserve"> </w:t>
      </w:r>
      <w:r>
        <w:t xml:space="preserve">service uniquely valuable to government-affiliated institutions in Dubai.</w:t>
      </w:r>
    </w:p>
    <w:bookmarkEnd w:id="22"/>
    <w:bookmarkEnd w:id="23"/>
    <w:bookmarkStart w:id="27" w:name="X09f4275a89bdda90e4f09a755c0d2d7f42bf65d"/>
    <w:p>
      <w:pPr>
        <w:pStyle w:val="Heading2"/>
      </w:pPr>
      <w:r>
        <w:t xml:space="preserve">III. Strategic Initiatives Driving Teacher Secondary Sales in Dubai</w:t>
      </w:r>
    </w:p>
    <w:p>
      <w:pPr>
        <w:pStyle w:val="FirstParagraph"/>
      </w:pPr>
      <w:r>
        <w:t xml:space="preserve">To dominate the</w:t>
      </w:r>
      <w:r>
        <w:t xml:space="preserve"> </w:t>
      </w:r>
      <w:r>
        <w:rPr>
          <w:iCs/>
          <w:i/>
        </w:rPr>
        <w:t xml:space="preserve">United Arab Emirates Dubai</w:t>
      </w:r>
      <w:r>
        <w:t xml:space="preserve"> </w:t>
      </w:r>
      <w:r>
        <w:t xml:space="preserve">market, we executed three pivotal initiatives:</w:t>
      </w:r>
    </w:p>
    <w:bookmarkStart w:id="24" w:name="X24c7b8453a323011a6421e1c38322bdb249288b"/>
    <w:p>
      <w:pPr>
        <w:pStyle w:val="Heading3"/>
      </w:pPr>
      <w:r>
        <w:t xml:space="preserve">1. "Dubai Ready" Teacher Certification Program</w:t>
      </w:r>
    </w:p>
    <w:p>
      <w:pPr>
        <w:pStyle w:val="FirstParagraph"/>
      </w:pPr>
      <w:r>
        <w:t xml:space="preserve">We developed a specialized training module for secondary teachers targeting Dubai's curriculum requirements, including Arabic language proficiency and UAE cultural orientation. This initiative directly increased placement speed by 40% and became a key selling point for schools seeking compliant</w:t>
      </w:r>
      <w:r>
        <w:t xml:space="preserve"> </w:t>
      </w:r>
      <w:r>
        <w:rPr>
          <w:bCs/>
          <w:b/>
        </w:rPr>
        <w:t xml:space="preserve">Teacher Secondary</w:t>
      </w:r>
      <w:r>
        <w:t xml:space="preserve"> </w:t>
      </w:r>
      <w:r>
        <w:t xml:space="preserve">candidates.</w:t>
      </w:r>
    </w:p>
    <w:bookmarkEnd w:id="24"/>
    <w:bookmarkStart w:id="25" w:name="premium-school-partnership-program"/>
    <w:p>
      <w:pPr>
        <w:pStyle w:val="Heading3"/>
      </w:pPr>
      <w:r>
        <w:t xml:space="preserve">2. Premium School Partnership Program</w:t>
      </w:r>
    </w:p>
    <w:p>
      <w:pPr>
        <w:pStyle w:val="FirstParagraph"/>
      </w:pPr>
      <w:r>
        <w:t xml:space="preserve">Cemented exclusive partnerships with Dubai's top 15 international schools through tailored recruitment services, including dedicated account management and priority access to our candidate pool. This strategy generated 63% of Q3 revenue from only 12 strategic partners.</w:t>
      </w:r>
    </w:p>
    <w:bookmarkEnd w:id="25"/>
    <w:bookmarkStart w:id="26" w:name="X52689a24e048d08014e37f9278495a6c1cbbc31"/>
    <w:p>
      <w:pPr>
        <w:pStyle w:val="Heading3"/>
      </w:pPr>
      <w:r>
        <w:t xml:space="preserve">3. Digital Recruitment Platform for Teacher Secondary</w:t>
      </w:r>
    </w:p>
    <w:p>
      <w:pPr>
        <w:pStyle w:val="FirstParagraph"/>
      </w:pPr>
      <w:r>
        <w:t xml:space="preserve">Launched Dubai-specific online portal with Arabic/English interface, integrated with KHDA's teacher registry. The platform streamlined the entire recruitment process for Dubai-based schools, reducing time-to-hire from 45 to 18 days – a major competitive advantage in the fast-paced</w:t>
      </w:r>
      <w:r>
        <w:t xml:space="preserve"> </w:t>
      </w:r>
      <w:r>
        <w:rPr>
          <w:bCs/>
          <w:b/>
        </w:rPr>
        <w:t xml:space="preserve">Teacher Secondary</w:t>
      </w:r>
      <w:r>
        <w:t xml:space="preserve"> </w:t>
      </w:r>
      <w:r>
        <w:t xml:space="preserve">market.</w:t>
      </w:r>
    </w:p>
    <w:bookmarkEnd w:id="26"/>
    <w:bookmarkEnd w:id="27"/>
    <w:bookmarkStart w:id="28" w:name="X556eeea3f44c6c29eeda8d480eaf1eba3f8579e"/>
    <w:p>
      <w:pPr>
        <w:pStyle w:val="Heading2"/>
      </w:pPr>
      <w:r>
        <w:t xml:space="preserve">IV. Challenges and Solutions in United Arab Emirates Dubai Market</w:t>
      </w:r>
    </w:p>
    <w:p>
      <w:pPr>
        <w:pStyle w:val="FirstParagraph"/>
      </w:pPr>
      <w:r>
        <w:t xml:space="preserve">The Q3 period presented significant challenges unique to the Dubai education landscape:</w:t>
      </w:r>
    </w:p>
    <w:p>
      <w:pPr>
        <w:numPr>
          <w:ilvl w:val="0"/>
          <w:numId w:val="1002"/>
        </w:numPr>
        <w:pStyle w:val="Compact"/>
      </w:pPr>
      <w:r>
        <w:rPr>
          <w:bCs/>
          <w:b/>
        </w:rPr>
        <w:t xml:space="preserve">Competition Surge:</w:t>
      </w:r>
      <w:r>
        <w:t xml:space="preserve"> </w:t>
      </w:r>
      <w:r>
        <w:t xml:space="preserve">17 new recruitment firms entered the Dubai market targeting secondary teachers. *Solution:* We countered with our KHDA-verified teacher database (5,200+ verified candidates) and exclusive school partnerships.</w:t>
      </w:r>
    </w:p>
    <w:p>
      <w:pPr>
        <w:numPr>
          <w:ilvl w:val="0"/>
          <w:numId w:val="1002"/>
        </w:numPr>
        <w:pStyle w:val="Compact"/>
      </w:pPr>
      <w:r>
        <w:rPr>
          <w:bCs/>
          <w:b/>
        </w:rPr>
        <w:t xml:space="preserve">Certification Requirements:</w:t>
      </w:r>
      <w:r>
        <w:t xml:space="preserve"> </w:t>
      </w:r>
      <w:r>
        <w:t xml:space="preserve">Dubai schools mandated new teaching certifications. *Solution:* Our "Dubai Compliance Guarantee" program covered all certification costs for successful placements.</w:t>
      </w:r>
    </w:p>
    <w:p>
      <w:pPr>
        <w:numPr>
          <w:ilvl w:val="0"/>
          <w:numId w:val="1002"/>
        </w:numPr>
        <w:pStyle w:val="Compact"/>
      </w:pPr>
      <w:r>
        <w:rPr>
          <w:bCs/>
          <w:b/>
        </w:rPr>
        <w:t xml:space="preserve">Seasonal Hiring Peaks:</w:t>
      </w:r>
      <w:r>
        <w:t xml:space="preserve"> </w:t>
      </w:r>
      <w:r>
        <w:t xml:space="preserve">August-September enrollment rush strained capacity. *Solution:* Deployed mobile recruitment teams across Dubai zones (Business Bay, Jumeirah, Dubai Knowledge Park) for on-ground candidate assessments.</w:t>
      </w:r>
    </w:p>
    <w:bookmarkEnd w:id="28"/>
    <w:bookmarkStart w:id="29" w:name="X5e084cea42d1331e0cb6c666fcdedceebde6265"/>
    <w:p>
      <w:pPr>
        <w:pStyle w:val="Heading2"/>
      </w:pPr>
      <w:r>
        <w:t xml:space="preserve">V. Future Outlook: Scaling Teacher Secondary Excellence in UAE</w:t>
      </w:r>
    </w:p>
    <w:p>
      <w:pPr>
        <w:pStyle w:val="FirstParagraph"/>
      </w:pPr>
      <w:r>
        <w:t xml:space="preserve">Building on our Q3 success, we are implementing three strategic priorities for the</w:t>
      </w:r>
      <w:r>
        <w:t xml:space="preserve"> </w:t>
      </w:r>
      <w:r>
        <w:rPr>
          <w:iCs/>
          <w:i/>
        </w:rPr>
        <w:t xml:space="preserve">United Arab Emirates Dubai</w:t>
      </w:r>
      <w:r>
        <w:t xml:space="preserve"> </w:t>
      </w:r>
      <w:r>
        <w:t xml:space="preserve">market:</w:t>
      </w:r>
    </w:p>
    <w:p>
      <w:pPr>
        <w:numPr>
          <w:ilvl w:val="0"/>
          <w:numId w:val="1003"/>
        </w:numPr>
        <w:pStyle w:val="Compact"/>
      </w:pPr>
      <w:r>
        <w:rPr>
          <w:bCs/>
          <w:b/>
        </w:rPr>
        <w:t xml:space="preserve">Expand STEM Secondary Focus:</w:t>
      </w:r>
      <w:r>
        <w:t xml:space="preserve"> </w:t>
      </w:r>
      <w:r>
        <w:t xml:space="preserve">Launching specialized recruitment drive for AI/robotics secondary educators (Q1 2024) to support Dubai's AI Strategy 2031.</w:t>
      </w:r>
    </w:p>
    <w:p>
      <w:pPr>
        <w:numPr>
          <w:ilvl w:val="0"/>
          <w:numId w:val="1003"/>
        </w:numPr>
        <w:pStyle w:val="Compact"/>
      </w:pPr>
      <w:r>
        <w:rPr>
          <w:bCs/>
          <w:b/>
        </w:rPr>
        <w:t xml:space="preserve">Dubai Regional Hubs:</w:t>
      </w:r>
      <w:r>
        <w:t xml:space="preserve"> </w:t>
      </w:r>
      <w:r>
        <w:t xml:space="preserve">Opening physical offices in Dubai Science Park and Innovation District to accelerate local candidate engagement.</w:t>
      </w:r>
    </w:p>
    <w:p>
      <w:pPr>
        <w:numPr>
          <w:ilvl w:val="0"/>
          <w:numId w:val="1003"/>
        </w:numPr>
        <w:pStyle w:val="Compact"/>
      </w:pPr>
      <w:r>
        <w:rPr>
          <w:bCs/>
          <w:b/>
        </w:rPr>
        <w:t xml:space="preserve">Emirati Teacher Development:</w:t>
      </w:r>
      <w:r>
        <w:t xml:space="preserve"> </w:t>
      </w:r>
      <w:r>
        <w:t xml:space="preserve">Partnering with UAE Ministry of Education to create "Teacher Secondary" career pathways for Emirati graduates, addressing nationalization targets.</w:t>
      </w:r>
    </w:p>
    <w:bookmarkEnd w:id="29"/>
    <w:bookmarkStart w:id="30" w:name="X24d5bc320f6c328df053c6e619584019756cc4c"/>
    <w:p>
      <w:pPr>
        <w:pStyle w:val="Heading2"/>
      </w:pPr>
      <w:r>
        <w:t xml:space="preserve">Conclusion: The Teacher Secondary Imperative in Dubai's Education Ecosystem</w:t>
      </w:r>
    </w:p>
    <w:p>
      <w:pPr>
        <w:pStyle w:val="FirstParagraph"/>
      </w:pPr>
      <w:r>
        <w:t xml:space="preserve">This Sales Report confirms that strategic focus on</w:t>
      </w:r>
      <w:r>
        <w:t xml:space="preserve"> </w:t>
      </w:r>
      <w:r>
        <w:rPr>
          <w:bCs/>
          <w:b/>
        </w:rPr>
        <w:t xml:space="preserve">Teacher Secondary</w:t>
      </w:r>
      <w:r>
        <w:t xml:space="preserve"> </w:t>
      </w:r>
      <w:r>
        <w:t xml:space="preserve">recruitment has become the cornerstone of our success in the United Arab Emirates Dubai education market. With Dubai schools prioritizing quality secondary education as a national economic imperative, our specialized approach delivers measurable value to both educational institutions and teachers seeking professional growth within</w:t>
      </w:r>
      <w:r>
        <w:t xml:space="preserve"> </w:t>
      </w:r>
      <w:r>
        <w:rPr>
          <w:iCs/>
          <w:i/>
        </w:rPr>
        <w:t xml:space="preserve">United Arab Emirates Dubai</w:t>
      </w:r>
      <w:r>
        <w:t xml:space="preserve">.</w:t>
      </w:r>
    </w:p>
    <w:p>
      <w:pPr>
        <w:pStyle w:val="BodyText"/>
      </w:pPr>
      <w:r>
        <w:t xml:space="preserve">We project 25% further growth in Teacher Secondary placements for Q4 2023, driven by Dubai's new school construction pipeline and the UAE's commitment to education excellence. As the premier partner for secondary teacher recruitment in Dubai, we remain dedicated to advancing educational excellence through exceptional</w:t>
      </w:r>
      <w:r>
        <w:t xml:space="preserve"> </w:t>
      </w:r>
      <w:r>
        <w:rPr>
          <w:bCs/>
          <w:b/>
        </w:rPr>
        <w:t xml:space="preserve">Teacher Secondary</w:t>
      </w:r>
      <w:r>
        <w:t xml:space="preserve"> </w:t>
      </w:r>
      <w:r>
        <w:t xml:space="preserve">solutions that align with the visionary goals of</w:t>
      </w:r>
      <w:r>
        <w:t xml:space="preserve"> </w:t>
      </w:r>
      <w:r>
        <w:rPr>
          <w:iCs/>
          <w:i/>
        </w:rPr>
        <w:t xml:space="preserve">United Arab Emirates Dubai</w:t>
      </w:r>
      <w:r>
        <w:t xml:space="preserve">.</w:t>
      </w:r>
    </w:p>
    <w:bookmarkEnd w:id="30"/>
    <w:p>
      <w:pPr>
        <w:pStyle w:val="BodyText"/>
      </w:pPr>
      <w:r>
        <w:t xml:space="preserve">This Sales Report is proprietary to [Company Name]. Data sourced from Dubai Knowledge and Human Development Authority (KHDA) and internal sales analytics. All figures based on 2023 Q3 reporting period.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Dubai, UAE</dc:title>
  <dc:creator/>
  <dc:language>en</dc:language>
  <cp:keywords/>
  <dcterms:created xsi:type="dcterms:W3CDTF">2025-12-10T13:59:18Z</dcterms:created>
  <dcterms:modified xsi:type="dcterms:W3CDTF">2025-12-10T13:59:18Z</dcterms:modified>
</cp:coreProperties>
</file>

<file path=docProps/custom.xml><?xml version="1.0" encoding="utf-8"?>
<Properties xmlns="http://schemas.openxmlformats.org/officeDocument/2006/custom-properties" xmlns:vt="http://schemas.openxmlformats.org/officeDocument/2006/docPropsVTypes"/>
</file>