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Teacher</w:t>
      </w:r>
      <w:r>
        <w:t xml:space="preserve"> </w:t>
      </w:r>
      <w:r>
        <w:t xml:space="preserve">Secondary</w:t>
      </w:r>
      <w:r>
        <w:t xml:space="preserve"> </w:t>
      </w:r>
      <w:r>
        <w:t xml:space="preserve">Sales</w:t>
      </w:r>
      <w:r>
        <w:t xml:space="preserve"> </w:t>
      </w:r>
      <w:r>
        <w:t xml:space="preserve">Performance</w:t>
      </w:r>
      <w:r>
        <w:t xml:space="preserve"> </w:t>
      </w:r>
      <w:r>
        <w:t xml:space="preserve">Report</w:t>
      </w:r>
      <w:r>
        <w:t xml:space="preserve"> </w:t>
      </w:r>
      <w:r>
        <w:t xml:space="preserve">-</w:t>
      </w:r>
      <w:r>
        <w:t xml:space="preserve"> </w:t>
      </w:r>
      <w:r>
        <w:t xml:space="preserve">Birmingham,</w:t>
      </w:r>
      <w:r>
        <w:t xml:space="preserve"> </w:t>
      </w:r>
      <w:r>
        <w:t xml:space="preserve">United</w:t>
      </w:r>
      <w:r>
        <w:t xml:space="preserve"> </w:t>
      </w:r>
      <w:r>
        <w:t xml:space="preserve">Kingdom</w:t>
      </w:r>
    </w:p>
    <w:bookmarkStart w:id="26" w:name="X81213a8e668c4525070021435c4ddff94a1ede9"/>
    <w:p>
      <w:pPr>
        <w:pStyle w:val="Heading1"/>
      </w:pPr>
      <w:r>
        <w:t xml:space="preserve">Sales Report: Secondary Teacher Recruitment Excellence in United Kingdom Birmingham</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Education Talent Acquisition Division, United Kingdom</w:t>
      </w:r>
      <w:r>
        <w:br/>
      </w:r>
      <w:r>
        <w:rPr>
          <w:bCs/>
          <w:b/>
        </w:rPr>
        <w:t xml:space="preserve">Report Period:</w:t>
      </w:r>
      <w:r>
        <w:t xml:space="preserve"> </w:t>
      </w:r>
      <w:r>
        <w:t xml:space="preserve">Q3 2023 (July 1 - September 30)</w:t>
      </w:r>
    </w:p>
    <w:bookmarkStart w:id="20" w:name="executive-summary"/>
    <w:p>
      <w:pPr>
        <w:pStyle w:val="Heading2"/>
      </w:pPr>
      <w:r>
        <w:t xml:space="preserve">Executive Summary</w:t>
      </w:r>
    </w:p>
    <w:p>
      <w:pPr>
        <w:pStyle w:val="FirstParagraph"/>
      </w:pPr>
      <w:r>
        <w:t xml:space="preserve">This Sales Report details the performance of our Secondary Teacher recruitment division across Birmingham, United Kingdom. The quarter demonstrated exceptional growth in securing qualified educators for secondary schools within Birmingham's diverse educational landscape. We achieved a 34% year-on-year increase in successful placements, with 187 secondary teaching professionals deployed to Birmingham schools – representing 22% of our national total placements. This performance underscores our strategic focus on addressing acute teacher shortages in the West Midlands' most underserved secondary institutions.</w:t>
      </w:r>
    </w:p>
    <w:bookmarkEnd w:id="20"/>
    <w:bookmarkStart w:id="21" w:name="Xcf9cb2f460aa93068b697a93f03269ac446b27a"/>
    <w:p>
      <w:pPr>
        <w:pStyle w:val="Heading2"/>
      </w:pPr>
      <w:r>
        <w:t xml:space="preserve">Regional Sales Performance: Birmingham Market Analysis</w:t>
      </w:r>
    </w:p>
    <w:p>
      <w:pPr>
        <w:pStyle w:val="FirstParagraph"/>
      </w:pPr>
      <w:r>
        <w:t xml:space="preserve">Birmingham remains the UK's largest city with the most complex secondary education ecosystem, serving 870,000 students across 365 schools. Our sales team has prioritized this market since Q1 2023 due to persistent shortages in core subjects including Mathematics (41% vacancy rate), Science (38%), and Modern Foreign Languages (52%). The Q3 results reflect our targeted approach to these critical areas:</w:t>
      </w:r>
    </w:p>
    <w:p>
      <w:pPr>
        <w:pStyle w:val="BodyText"/>
      </w:pPr>
      <w:r>
        <w:t xml:space="preserve">Subject Area</w:t>
      </w:r>
    </w:p>
    <w:p>
      <w:pPr>
        <w:pStyle w:val="BodyText"/>
      </w:pPr>
      <w:r>
        <w:t xml:space="preserve">Q2 2023 Placements</w:t>
      </w:r>
    </w:p>
    <w:p>
      <w:pPr>
        <w:pStyle w:val="BodyText"/>
      </w:pPr>
      <w:r>
        <w:t xml:space="preserve">Q3 2023 Placements</w:t>
      </w:r>
    </w:p>
    <w:p>
      <w:pPr>
        <w:pStyle w:val="BodyText"/>
      </w:pPr>
    </w:p>
    <w:p>
      <w:pPr>
        <w:pStyle w:val="BodyText"/>
      </w:pPr>
      <w:r>
        <w:t xml:space="preserve">% Change</w:t>
      </w:r>
    </w:p>
    <w:p>
      <w:pPr>
        <w:pStyle w:val="BodyText"/>
      </w:pPr>
      <w:r>
        <w:t xml:space="preserve">Mathematics</w:t>
      </w:r>
    </w:p>
    <w:p>
      <w:pPr>
        <w:pStyle w:val="BodyText"/>
      </w:pPr>
      <w:r>
        <w:t xml:space="preserve">41</w:t>
      </w:r>
    </w:p>
    <w:p>
      <w:pPr>
        <w:pStyle w:val="BodyText"/>
      </w:pPr>
      <w:r>
        <w:t xml:space="preserve">58</w:t>
      </w:r>
    </w:p>
    <w:p>
      <w:pPr>
        <w:pStyle w:val="BodyText"/>
      </w:pPr>
      <w:r>
        <w:t xml:space="preserve">+41.5%</w:t>
      </w:r>
    </w:p>
    <w:p>
      <w:pPr>
        <w:pStyle w:val="BodyText"/>
      </w:pPr>
      <w:r>
        <w:t xml:space="preserve">Science (Biology/Chemistry/Physics)</w:t>
      </w:r>
    </w:p>
    <w:p>
      <w:pPr>
        <w:pStyle w:val="BodyText"/>
      </w:pPr>
      <w:r>
        <w:t xml:space="preserve">37</w:t>
      </w:r>
    </w:p>
    <w:p>
      <w:pPr>
        <w:pStyle w:val="BodyText"/>
      </w:pPr>
      <w:r>
        <w:t xml:space="preserve">52</w:t>
      </w:r>
    </w:p>
    <w:p>
      <w:pPr>
        <w:pStyle w:val="BodyText"/>
      </w:pPr>
      <w:r>
        <w:t xml:space="preserve">+40.5%</w:t>
      </w:r>
    </w:p>
    <w:p>
      <w:pPr>
        <w:pStyle w:val="BodyText"/>
      </w:pPr>
      <w:r>
        <w:t xml:space="preserve">Modern Foreign Languages (MFL)</w:t>
      </w:r>
    </w:p>
    <w:p>
      <w:pPr>
        <w:pStyle w:val="BodyText"/>
      </w:pPr>
      <w:r>
        <w:t xml:space="preserve">19</w:t>
      </w:r>
    </w:p>
    <w:p>
      <w:pPr>
        <w:pStyle w:val="BodyText"/>
      </w:pPr>
      <w:r>
        <w:t xml:space="preserve">33</w:t>
      </w:r>
    </w:p>
    <w:p>
      <w:pPr>
        <w:pStyle w:val="BodyText"/>
      </w:pPr>
      <w:r>
        <w:t xml:space="preserve">+73.7%</w:t>
      </w:r>
    </w:p>
    <w:p>
      <w:pPr>
        <w:pStyle w:val="BodyText"/>
      </w:pPr>
      <w:r>
        <w:t xml:space="preserve">Total Secondary Placements</w:t>
      </w:r>
    </w:p>
    <w:p>
      <w:pPr>
        <w:pStyle w:val="BodyText"/>
      </w:pPr>
      <w:r>
        <w:t xml:space="preserve">97</w:t>
      </w:r>
    </w:p>
    <w:p>
      <w:pPr>
        <w:pStyle w:val="BodyText"/>
      </w:pPr>
      <w:r>
        <w:t xml:space="preserve">187</w:t>
      </w:r>
    </w:p>
    <w:p>
      <w:pPr>
        <w:pStyle w:val="BodyText"/>
      </w:pPr>
    </w:p>
    <w:p>
      <w:pPr>
        <w:pStyle w:val="BodyText"/>
      </w:pPr>
      <w:r>
        <w:t xml:space="preserve">+92.8%</w:t>
      </w:r>
    </w:p>
    <w:p>
      <w:pPr>
        <w:pStyle w:val="BodyText"/>
      </w:pPr>
      <w:r>
        <w:t xml:space="preserve">The 92.8% increase in Birmingham secondary placements directly correlates with our new partnership initiative with Birmingham City Council's Education Department, launched in July 2023. This collaboration includes streamlined DBS processing and dedicated recruitment days at the city's two major teacher training hubs: the University of Birmingham and Aston University.</w:t>
      </w:r>
    </w:p>
    <w:bookmarkEnd w:id="21"/>
    <w:bookmarkStart w:id="22" w:name="key-success-factors-driving-sales-growth"/>
    <w:p>
      <w:pPr>
        <w:pStyle w:val="Heading2"/>
      </w:pPr>
      <w:r>
        <w:t xml:space="preserve">Key Success Factors Driving Sales Growth</w:t>
      </w:r>
    </w:p>
    <w:p>
      <w:pPr>
        <w:pStyle w:val="FirstParagraph"/>
      </w:pPr>
      <w:r>
        <w:t xml:space="preserve">Our sales strategy in United Kingdom Birmingham has centered on three pillars that significantly outperformed national benchmarks:</w:t>
      </w:r>
    </w:p>
    <w:p>
      <w:pPr>
        <w:numPr>
          <w:ilvl w:val="0"/>
          <w:numId w:val="1001"/>
        </w:numPr>
        <w:pStyle w:val="Compact"/>
      </w:pPr>
      <w:r>
        <w:rPr>
          <w:bCs/>
          <w:b/>
        </w:rPr>
        <w:t xml:space="preserve">Hyper-Local Market Intelligence:</w:t>
      </w:r>
      <w:r>
        <w:t xml:space="preserve"> </w:t>
      </w:r>
      <w:r>
        <w:t xml:space="preserve">Our Birmingham-based sales team conducted 142 school visits across the city's 10 boroughs, identifying specific needs of schools in disadvantaged areas (e.g., Sparkbrook, Erdington). This led to a 68% success rate in placing teachers within 30 miles of their residential locations – a critical factor for retention.</w:t>
      </w:r>
    </w:p>
    <w:p>
      <w:pPr>
        <w:numPr>
          <w:ilvl w:val="0"/>
          <w:numId w:val="1001"/>
        </w:numPr>
        <w:pStyle w:val="Compact"/>
      </w:pPr>
      <w:r>
        <w:rPr>
          <w:bCs/>
          <w:b/>
        </w:rPr>
        <w:t xml:space="preserve">Specialist Recruitment Technology:</w:t>
      </w:r>
      <w:r>
        <w:t xml:space="preserve"> </w:t>
      </w:r>
      <w:r>
        <w:t xml:space="preserve">Implementation of our 'Birmingham Talent Connect' AI platform reduced time-to-hire by 42%. The system now prioritizes candidates with experience in Birmingham's specific curriculum frameworks (e.g., Birmingham City Council's 'Education Action Zone' initiatives) and identifies teachers who have previously worked in Midlands secondary schools.</w:t>
      </w:r>
    </w:p>
    <w:p>
      <w:pPr>
        <w:numPr>
          <w:ilvl w:val="0"/>
          <w:numId w:val="1001"/>
        </w:numPr>
        <w:pStyle w:val="Compact"/>
      </w:pPr>
      <w:r>
        <w:rPr>
          <w:bCs/>
          <w:b/>
        </w:rPr>
        <w:t xml:space="preserve">Partnership Development:</w:t>
      </w:r>
      <w:r>
        <w:t xml:space="preserve"> </w:t>
      </w:r>
      <w:r>
        <w:t xml:space="preserve">Securing exclusive contracts with 12 major multi-academy trusts (MATs) operating in Birmingham – including the successful 'Birmingham Education Partnership' (BEP), which manages 47 schools. This accounted for 63% of all Q3 placements.</w:t>
      </w:r>
    </w:p>
    <w:bookmarkEnd w:id="22"/>
    <w:bookmarkStart w:id="23" w:name="challenges-and-mitigation-strategies"/>
    <w:p>
      <w:pPr>
        <w:pStyle w:val="Heading2"/>
      </w:pPr>
      <w:r>
        <w:t xml:space="preserve">Challenges and Mitigation Strategies</w:t>
      </w:r>
    </w:p>
    <w:p>
      <w:pPr>
        <w:pStyle w:val="FirstParagraph"/>
      </w:pPr>
      <w:r>
        <w:t xml:space="preserve">Despite strong performance, Birmingham's secondary teacher market presents unique challenges:</w:t>
      </w:r>
    </w:p>
    <w:p>
      <w:pPr>
        <w:numPr>
          <w:ilvl w:val="0"/>
          <w:numId w:val="1002"/>
        </w:numPr>
        <w:pStyle w:val="Compact"/>
      </w:pPr>
      <w:r>
        <w:rPr>
          <w:bCs/>
          <w:b/>
        </w:rPr>
        <w:t xml:space="preserve">Geographic Disparities:</w:t>
      </w:r>
      <w:r>
        <w:t xml:space="preserve"> </w:t>
      </w:r>
      <w:r>
        <w:t xml:space="preserve">Vacancy rates remain 3.2x higher in inner-city schools versus suburban counterparts. Our sales team addressed this by offering relocation incentives (up to £5,000) and partnering with Birmingham Housing Association for emergency accommodation.</w:t>
      </w:r>
    </w:p>
    <w:p>
      <w:pPr>
        <w:numPr>
          <w:ilvl w:val="0"/>
          <w:numId w:val="1002"/>
        </w:numPr>
        <w:pStyle w:val="Compact"/>
      </w:pPr>
      <w:r>
        <w:rPr>
          <w:bCs/>
          <w:b/>
        </w:rPr>
        <w:t xml:space="preserve">Subject-Specific Shortages:</w:t>
      </w:r>
      <w:r>
        <w:t xml:space="preserve"> </w:t>
      </w:r>
      <w:r>
        <w:t xml:space="preserve">MFL vacancies persisted due to Brexit-related talent drain. We mitigated this by launching a 'Birmingham Bilingual Educator' recruitment drive targeting EU-qualified teachers through UKVI's new streamlined visa pathway.</w:t>
      </w:r>
    </w:p>
    <w:p>
      <w:pPr>
        <w:numPr>
          <w:ilvl w:val="0"/>
          <w:numId w:val="1002"/>
        </w:numPr>
        <w:pStyle w:val="Compact"/>
      </w:pPr>
      <w:r>
        <w:rPr>
          <w:iCs/>
          <w:i/>
        </w:rPr>
        <w:t xml:space="preserve">Market Competition:</w:t>
      </w:r>
      <w:r>
        <w:t xml:space="preserve"> </w:t>
      </w:r>
      <w:r>
        <w:t xml:space="preserve">Local agencies attempted to undercut our rates for non-specialist roles. Our sales team countered with bundled service packages (including free CPD training at Birmingham Institute of Education) that increased average deal value by 27%.</w:t>
      </w:r>
    </w:p>
    <w:bookmarkEnd w:id="23"/>
    <w:bookmarkStart w:id="24" w:name="strategic-recommendations-for-q4"/>
    <w:p>
      <w:pPr>
        <w:pStyle w:val="Heading2"/>
      </w:pPr>
      <w:r>
        <w:t xml:space="preserve">Strategic Recommendations for Q4</w:t>
      </w:r>
    </w:p>
    <w:p>
      <w:pPr>
        <w:pStyle w:val="FirstParagraph"/>
      </w:pPr>
      <w:r>
        <w:t xml:space="preserve">To sustain and accelerate growth in our Teacher Secondary sales pipeline across United Kingdom Birmingham, we propose:</w:t>
      </w:r>
    </w:p>
    <w:p>
      <w:pPr>
        <w:numPr>
          <w:ilvl w:val="0"/>
          <w:numId w:val="1003"/>
        </w:numPr>
        <w:pStyle w:val="Compact"/>
      </w:pPr>
      <w:r>
        <w:rPr>
          <w:bCs/>
          <w:b/>
        </w:rPr>
        <w:t xml:space="preserve">Expand the 'Birmingham First' Program:</w:t>
      </w:r>
      <w:r>
        <w:t xml:space="preserve"> </w:t>
      </w:r>
      <w:r>
        <w:t xml:space="preserve">Prioritize candidates with Birmingham residency or local school experience. This would leverage our 78% retention rate for locally placed teachers versus 49% nationally.</w:t>
      </w:r>
    </w:p>
    <w:p>
      <w:pPr>
        <w:numPr>
          <w:ilvl w:val="0"/>
          <w:numId w:val="1003"/>
        </w:numPr>
        <w:pStyle w:val="Compact"/>
      </w:pPr>
      <w:r>
        <w:rPr>
          <w:bCs/>
          <w:b/>
        </w:rPr>
        <w:t xml:space="preserve">Develop Specialist Training Partnerships:</w:t>
      </w:r>
      <w:r>
        <w:t xml:space="preserve"> </w:t>
      </w:r>
      <w:r>
        <w:t xml:space="preserve">Co-create a "Birmingham Secondary Teacher Resilience Program" with the University of Birmingham, focusing on urban classroom management techniques. This will position us as a strategic education partner rather than just a recruitment agency.</w:t>
      </w:r>
    </w:p>
    <w:p>
      <w:pPr>
        <w:numPr>
          <w:ilvl w:val="0"/>
          <w:numId w:val="1003"/>
        </w:numPr>
        <w:pStyle w:val="Compact"/>
      </w:pPr>
      <w:r>
        <w:rPr>
          <w:bCs/>
          <w:b/>
        </w:rPr>
        <w:t xml:space="preserve">Leverage Data Analytics:</w:t>
      </w:r>
      <w:r>
        <w:t xml:space="preserve"> </w:t>
      </w:r>
      <w:r>
        <w:t xml:space="preserve">Implement predictive analytics to forecast vacancies 6 months in advance using Birmingham City Council's school census data. Early trials show 89% accuracy in vacancy prediction for high-need subjects.</w:t>
      </w:r>
    </w:p>
    <w:bookmarkEnd w:id="24"/>
    <w:bookmarkStart w:id="25" w:name="conclusion"/>
    <w:p>
      <w:pPr>
        <w:pStyle w:val="Heading2"/>
      </w:pPr>
      <w:r>
        <w:t xml:space="preserve">Conclusion</w:t>
      </w:r>
    </w:p>
    <w:p>
      <w:pPr>
        <w:pStyle w:val="FirstParagraph"/>
      </w:pPr>
      <w:r>
        <w:t xml:space="preserve">This Sales Report confirms that our focused approach to the Teacher Secondary market in United Kingdom Birmingham has yielded transformative results. The 92.8% quarter-on-quarter growth in placements – significantly outperforming the national average of 17% for secondary teacher recruitment – validates our investment in localized sales strategies. Crucially, these placements are delivering measurable impact: schools reporting reduced staff vacancy durations (down to 14 days from a previous average of 58 days) and improved student outcomes in key subjects.</w:t>
      </w:r>
    </w:p>
    <w:p>
      <w:pPr>
        <w:pStyle w:val="BodyText"/>
      </w:pPr>
      <w:r>
        <w:t xml:space="preserve">As Birmingham continues its ambitious "Education Transformation Plan" to become the UK's first fully digitally-enabled education system by 2026, our Teacher Secondary sales performance positions us as the indispensable partner for school leadership teams navigating this critical phase. We are not merely filling vacancies – we are enabling educational excellence across Birmingham's diverse secondary institutions. The success of Q3 demonstrates that when recruitment solutions are tailored to a city's unique pedagogical and socio-economic context, sustainable growth in teacher supply becomes achievable.</w:t>
      </w:r>
    </w:p>
    <w:p>
      <w:pPr>
        <w:pStyle w:val="BodyText"/>
      </w:pPr>
      <w:r>
        <w:t xml:space="preserve">With Birmingham representing 18% of the UK's secondary school population but only 9% of national teacher recruitment capacity pre-2023, our team has successfully rebalanced this equation. As we enter Q4 with a pipeline of 327 confirmed placements (up from 141 in Q3), the Birmingham market proves that strategic, place-based recruitment is the cornerstone of educational sustainability across United Kingdom.</w:t>
      </w:r>
    </w:p>
    <w:p>
      <w:pPr>
        <w:pStyle w:val="BodyText"/>
      </w:pPr>
      <w:r>
        <w:rPr>
          <w:bCs/>
          <w:b/>
        </w:rPr>
        <w:t xml:space="preserve">Prepared By:</w:t>
      </w:r>
      <w:r>
        <w:t xml:space="preserve"> </w:t>
      </w:r>
      <w:r>
        <w:t xml:space="preserve">Alex Morgan, Head of Secondary Recruitment | Birmingham Office</w:t>
      </w:r>
      <w:r>
        <w:br/>
      </w:r>
      <w:r>
        <w:rPr>
          <w:bCs/>
          <w:b/>
        </w:rPr>
        <w:t xml:space="preserve">Contact:</w:t>
      </w:r>
      <w:r>
        <w:t xml:space="preserve"> </w:t>
      </w:r>
      <w:r>
        <w:t xml:space="preserve">alex.morgan@educationtalentuk.co.uk | +44 121 300 7890</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Teacher Secondary Sales Performance Report - Birmingham, United Kingdom</dc:title>
  <dc:creator/>
  <dc:language>en</dc:language>
  <cp:keywords/>
  <dcterms:created xsi:type="dcterms:W3CDTF">2025-12-10T15:38:22Z</dcterms:created>
  <dcterms:modified xsi:type="dcterms:W3CDTF">2025-12-10T15:38:22Z</dcterms:modified>
</cp:coreProperties>
</file>

<file path=docProps/custom.xml><?xml version="1.0" encoding="utf-8"?>
<Properties xmlns="http://schemas.openxmlformats.org/officeDocument/2006/custom-properties" xmlns:vt="http://schemas.openxmlformats.org/officeDocument/2006/docPropsVTypes"/>
</file>