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London</w:t>
      </w:r>
      <w:r>
        <w:t xml:space="preserve"> </w:t>
      </w:r>
      <w:r>
        <w:t xml:space="preserve">Secondary</w:t>
      </w:r>
      <w:r>
        <w:t xml:space="preserve"> </w:t>
      </w:r>
      <w:r>
        <w:t xml:space="preserve">Teacher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31" w:name="X768a2791b3ab3f8789aef084316f6cfa1ee67a4"/>
    <w:p>
      <w:pPr>
        <w:pStyle w:val="Heading1"/>
      </w:pPr>
      <w:r>
        <w:t xml:space="preserve">Secondary Teacher Sales Performance Report</w:t>
      </w:r>
    </w:p>
    <w:bookmarkStart w:id="30" w:name="united-kingdom-london---q3-2023"/>
    <w:p>
      <w:pPr>
        <w:pStyle w:val="Heading2"/>
      </w:pPr>
      <w:r>
        <w:t xml:space="preserve">United Kingdom London - Q3 2023</w:t>
      </w:r>
    </w:p>
    <w:p>
      <w:pPr>
        <w:pStyle w:val="FirstParagraph"/>
      </w:pPr>
      <w:r>
        <w:t xml:space="preserve">Prepared for Educational Resources Division • Date: October 15, 2023</w:t>
      </w:r>
    </w:p>
    <w:bookmarkStart w:id="20" w:name="executive-summary"/>
    <w:p>
      <w:pPr>
        <w:pStyle w:val="Heading3"/>
      </w:pPr>
      <w:r>
        <w:t xml:space="preserve">Executive Summary</w:t>
      </w:r>
    </w:p>
    <w:p>
      <w:pPr>
        <w:pStyle w:val="FirstParagraph"/>
      </w:pPr>
      <w:r>
        <w:t xml:space="preserve">This comprehensive Sales Report details the performance of our educational resources for Teacher Secondary across the United Kingdom London market during Q3 2023. The report demonstrates significant growth in secondary school engagement, with London representing 42% of our national sales volume for Teacher Secondary products. Our strategic focus on London's diverse secondary education landscape has yielded exceptional results, confirming our position as the leading provider for Teacher Secondary solutions in the United Kingdom.</w:t>
      </w:r>
    </w:p>
    <w:bookmarkEnd w:id="20"/>
    <w:bookmarkStart w:id="21" w:name="sales-performance-overview"/>
    <w:p>
      <w:pPr>
        <w:pStyle w:val="Heading3"/>
      </w:pPr>
      <w:r>
        <w:t xml:space="preserve">Sales Performance Overview</w:t>
      </w:r>
    </w:p>
    <w:p>
      <w:pPr>
        <w:pStyle w:val="FirstParagraph"/>
      </w:pPr>
      <w:r>
        <w:t xml:space="preserve">The Q3 2023 Sales Report reveals a 28% year-on-year increase in revenue from Teacher Secondary clients across London, reaching £1.87M (up from £1.46M in Q3 2022). This growth outpaces the national education sector average by 15 percentage points. The London market contributed 63% of our total United Kingdom secondary sales, driven by strong demand for digital teaching resources and subject-specific kits.</w:t>
      </w:r>
    </w:p>
    <w:p>
      <w:pPr>
        <w:pStyle w:val="BodyText"/>
      </w:pPr>
      <w:r>
        <w:t xml:space="preserve">Key performance indicators show remarkable improvement:</w:t>
      </w:r>
    </w:p>
    <w:p>
      <w:pPr>
        <w:numPr>
          <w:ilvl w:val="0"/>
          <w:numId w:val="1001"/>
        </w:numPr>
        <w:pStyle w:val="Compact"/>
      </w:pPr>
      <w:r>
        <w:rPr>
          <w:bCs/>
          <w:b/>
        </w:rPr>
        <w:t xml:space="preserve">Customer Acquisition Rate</w:t>
      </w:r>
      <w:r>
        <w:t xml:space="preserve">: Increased by 37% in London secondary schools</w:t>
      </w:r>
    </w:p>
    <w:p>
      <w:pPr>
        <w:numPr>
          <w:ilvl w:val="0"/>
          <w:numId w:val="1001"/>
        </w:numPr>
        <w:pStyle w:val="Compact"/>
      </w:pPr>
      <w:r>
        <w:rPr>
          <w:bCs/>
          <w:b/>
        </w:rPr>
        <w:t xml:space="preserve">Product Retention Rate</w:t>
      </w:r>
      <w:r>
        <w:t xml:space="preserve">: Reached 89% among Teacher Secondary clients (vs. national average of 82%)</w:t>
      </w:r>
    </w:p>
    <w:p>
      <w:pPr>
        <w:numPr>
          <w:ilvl w:val="0"/>
          <w:numId w:val="1001"/>
        </w:numPr>
        <w:pStyle w:val="Compact"/>
      </w:pPr>
      <w:r>
        <w:rPr>
          <w:bCs/>
          <w:b/>
        </w:rPr>
        <w:t xml:space="preserve">Average Order Value (AOV)</w:t>
      </w:r>
      <w:r>
        <w:t xml:space="preserve">: £1,450 per transaction in United Kingdom London (up 22% YoY)</w:t>
      </w:r>
    </w:p>
    <w:bookmarkEnd w:id="21"/>
    <w:bookmarkStart w:id="25" w:name="Xfc12108df1dcc029363d202ce95918bad73c48b"/>
    <w:p>
      <w:pPr>
        <w:pStyle w:val="Heading3"/>
      </w:pPr>
      <w:r>
        <w:t xml:space="preserve">London Market Analysis: Teacher Secondary Focus</w:t>
      </w:r>
    </w:p>
    <w:p>
      <w:pPr>
        <w:pStyle w:val="FirstParagraph"/>
      </w:pPr>
      <w:r>
        <w:t xml:space="preserve">Our analysis of the United Kingdom London market reveals unique patterns specific to Teacher Secondary engagement. The report identifies three critical segments driving success:</w:t>
      </w:r>
    </w:p>
    <w:bookmarkStart w:id="22" w:name="X334285309cf4eaaa42ef32ff4b9a60470b1b55a"/>
    <w:p>
      <w:pPr>
        <w:pStyle w:val="Heading4"/>
      </w:pPr>
      <w:r>
        <w:t xml:space="preserve">1. Inner London Boroughs (Boroughs with High Student Diversity)</w:t>
      </w:r>
    </w:p>
    <w:p>
      <w:pPr>
        <w:pStyle w:val="FirstParagraph"/>
      </w:pPr>
      <w:r>
        <w:t xml:space="preserve">Areas such as Tower Hamlets, Newham, and Camden showed 35% higher adoption rates of our inclusive curriculum resources. Teacher Secondary educators in these regions prioritized culturally responsive materials, driving a 41% increase in social studies and citizenship resource sales compared to national averages.</w:t>
      </w:r>
    </w:p>
    <w:bookmarkEnd w:id="22"/>
    <w:bookmarkStart w:id="23" w:name="specialist-secondary-schools"/>
    <w:p>
      <w:pPr>
        <w:pStyle w:val="Heading4"/>
      </w:pPr>
      <w:r>
        <w:t xml:space="preserve">2. Specialist Secondary Schools</w:t>
      </w:r>
    </w:p>
    <w:p>
      <w:pPr>
        <w:pStyle w:val="FirstParagraph"/>
      </w:pPr>
      <w:r>
        <w:t xml:space="preserve">London's 87 specialist secondary schools (including STEM-focused institutions) purchased 58% more high-end technology resources. Our interactive science kits saw a 63% uptake among Teacher Secondary clients at these institutions, directly contributing to our Q3 revenue growth.</w:t>
      </w:r>
    </w:p>
    <w:bookmarkEnd w:id="23"/>
    <w:bookmarkStart w:id="24" w:name="london-consortium-purchases"/>
    <w:p>
      <w:pPr>
        <w:pStyle w:val="Heading4"/>
      </w:pPr>
      <w:r>
        <w:t xml:space="preserve">3. London Consortium Purchases</w:t>
      </w:r>
    </w:p>
    <w:p>
      <w:pPr>
        <w:pStyle w:val="FirstParagraph"/>
      </w:pPr>
      <w:r>
        <w:t xml:space="preserve">Four major London educational consortia (including the Greater London Consortium of Schools) implemented bulk purchasing agreements for Teacher Secondary resources. These contracts represent 29% of all sales in this region and include multi-year commitments, providing stable revenue streams.</w:t>
      </w:r>
    </w:p>
    <w:bookmarkEnd w:id="24"/>
    <w:bookmarkEnd w:id="25"/>
    <w:bookmarkStart w:id="26" w:name="product-category-performance"/>
    <w:p>
      <w:pPr>
        <w:pStyle w:val="Heading3"/>
      </w:pPr>
      <w:r>
        <w:t xml:space="preserve">Product Category Performance</w:t>
      </w:r>
    </w:p>
    <w:p>
      <w:pPr>
        <w:pStyle w:val="FirstParagraph"/>
      </w:pPr>
      <w:r>
        <w:t xml:space="preserve">The Sales Report highlights three product categories generating exceptional traction with Teacher Secondary professionals in United Kingdom London:</w:t>
      </w:r>
    </w:p>
    <w:p>
      <w:pPr>
        <w:pStyle w:val="BodyText"/>
      </w:pPr>
      <w:r>
        <w:t xml:space="preserve">Product Category</w:t>
      </w:r>
    </w:p>
    <w:p>
      <w:pPr>
        <w:pStyle w:val="BodyText"/>
      </w:pPr>
      <w:r>
        <w:t xml:space="preserve">Q3 2023 Sales (£)</w:t>
      </w:r>
    </w:p>
    <w:p>
      <w:pPr>
        <w:pStyle w:val="BodyText"/>
      </w:pPr>
      <w:r>
        <w:t xml:space="preserve">YoY Growth</w:t>
      </w:r>
    </w:p>
    <w:p>
      <w:pPr>
        <w:pStyle w:val="BodyText"/>
      </w:pPr>
      <w:r>
        <w:t xml:space="preserve">Londons Market Share (%)</w:t>
      </w:r>
    </w:p>
    <w:p>
      <w:pPr>
        <w:pStyle w:val="BodyText"/>
      </w:pPr>
      <w:r>
        <w:t xml:space="preserve">Digital Classroom Platforms</w:t>
      </w:r>
    </w:p>
    <w:p>
      <w:pPr>
        <w:pStyle w:val="BodyText"/>
      </w:pPr>
      <w:r>
        <w:t xml:space="preserve">£624,000</w:t>
      </w:r>
    </w:p>
    <w:p>
      <w:pPr>
        <w:pStyle w:val="BodyText"/>
      </w:pPr>
      <w:r>
        <w:t xml:space="preserve">52%</w:t>
      </w:r>
    </w:p>
    <w:p>
      <w:pPr>
        <w:pStyle w:val="BodyText"/>
      </w:pPr>
      <w:r>
        <w:t xml:space="preserve">38%</w:t>
      </w:r>
    </w:p>
    <w:p>
      <w:pPr>
        <w:pStyle w:val="BodyText"/>
      </w:pPr>
      <w:r>
        <w:t xml:space="preserve">Cross-Curricular Resource Kits</w:t>
      </w:r>
    </w:p>
    <w:p>
      <w:pPr>
        <w:pStyle w:val="BodyText"/>
      </w:pPr>
      <w:r>
        <w:t xml:space="preserve">£476,200</w:t>
      </w:r>
    </w:p>
    <w:p>
      <w:pPr>
        <w:pStyle w:val="BodyText"/>
      </w:pPr>
      <w:r>
        <w:rPr>
          <w:bCs/>
          <w:b/>
        </w:rPr>
        <w:t xml:space="preserve">(Note: This is a typo in the original text - it should be £476,200)</w:t>
      </w:r>
    </w:p>
    <w:p>
      <w:pPr>
        <w:pStyle w:val="BodyText"/>
      </w:pPr>
      <w:r>
        <w:t xml:space="preserve">Subject-Specific Lab Equipment (Science/Math)</w:t>
      </w:r>
    </w:p>
    <w:p>
      <w:pPr>
        <w:pStyle w:val="BodyText"/>
      </w:pPr>
      <w:r>
        <w:t xml:space="preserve">£385,500</w:t>
      </w:r>
    </w:p>
    <w:p>
      <w:pPr>
        <w:pStyle w:val="BodyText"/>
      </w:pPr>
      <w:r>
        <w:t xml:space="preserve">29%</w:t>
      </w:r>
    </w:p>
    <w:p>
      <w:pPr>
        <w:pStyle w:val="BodyText"/>
      </w:pPr>
      <w:r>
        <w:t xml:space="preserve">47%</w:t>
      </w:r>
    </w:p>
    <w:p>
      <w:pPr>
        <w:pStyle w:val="BodyText"/>
      </w:pPr>
      <w:r>
        <w:t xml:space="preserve">The success of digital platforms reflects London Teacher Secondary educators' accelerated adoption of hybrid learning tools post-pandemic. The 52% growth in this category demonstrates our alignment with the evolving pedagogical needs across United Kingdom London secondary schools.</w:t>
      </w:r>
    </w:p>
    <w:bookmarkEnd w:id="26"/>
    <w:bookmarkStart w:id="27" w:name="customer-feedback-market-insights"/>
    <w:p>
      <w:pPr>
        <w:pStyle w:val="Heading3"/>
      </w:pPr>
      <w:r>
        <w:t xml:space="preserve">Customer Feedback &amp; Market Insights</w:t>
      </w:r>
    </w:p>
    <w:p>
      <w:pPr>
        <w:pStyle w:val="FirstParagraph"/>
      </w:pPr>
      <w:r>
        <w:t xml:space="preserve">Teacher Secondary feedback collected through London-specific focus groups (conducted at 23 schools) revealed three critical insights shaping our strategy:</w:t>
      </w:r>
    </w:p>
    <w:p>
      <w:pPr>
        <w:numPr>
          <w:ilvl w:val="0"/>
          <w:numId w:val="1002"/>
        </w:numPr>
        <w:pStyle w:val="Compact"/>
      </w:pPr>
      <w:r>
        <w:rPr>
          <w:bCs/>
          <w:b/>
        </w:rPr>
        <w:t xml:space="preserve">Personalization Demand</w:t>
      </w:r>
      <w:r>
        <w:t xml:space="preserve">: "We need resources that match London's diverse student demographics," stated a Head of Department at a Brent secondary school in the Q3 feedback survey.</w:t>
      </w:r>
    </w:p>
    <w:p>
      <w:pPr>
        <w:numPr>
          <w:ilvl w:val="0"/>
          <w:numId w:val="1002"/>
        </w:numPr>
        <w:pStyle w:val="Compact"/>
      </w:pPr>
      <w:r>
        <w:rPr>
          <w:bCs/>
          <w:b/>
        </w:rPr>
        <w:t xml:space="preserve">Professional Development Integration</w:t>
      </w:r>
      <w:r>
        <w:t xml:space="preserve">: 78% of Teacher Secondary respondents requested integrated training with new resource purchases.</w:t>
      </w:r>
    </w:p>
    <w:p>
      <w:pPr>
        <w:numPr>
          <w:ilvl w:val="0"/>
          <w:numId w:val="1002"/>
        </w:numPr>
        <w:pStyle w:val="Compact"/>
      </w:pPr>
      <w:r>
        <w:rPr>
          <w:bCs/>
          <w:b/>
        </w:rPr>
        <w:t xml:space="preserve">Cost Efficiency</w:t>
      </w:r>
      <w:r>
        <w:t xml:space="preserve">: Schools emphasized "value beyond price" - seeking comprehensive solutions that reduce planning time for Teacher Secondary professionals across United Kingdom London.</w:t>
      </w:r>
    </w:p>
    <w:bookmarkEnd w:id="27"/>
    <w:bookmarkStart w:id="28" w:name="challenges-strategic-opportunities"/>
    <w:p>
      <w:pPr>
        <w:pStyle w:val="Heading3"/>
      </w:pPr>
      <w:r>
        <w:t xml:space="preserve">Challenges &amp; Strategic Opportunities</w:t>
      </w:r>
    </w:p>
    <w:p>
      <w:pPr>
        <w:pStyle w:val="FirstParagraph"/>
      </w:pPr>
      <w:r>
        <w:t xml:space="preserve">While the Q3 Sales Report shows strong performance, we identified key challenges specific to the Teacher Secondary market in United Kingdom London:</w:t>
      </w:r>
    </w:p>
    <w:p>
      <w:pPr>
        <w:numPr>
          <w:ilvl w:val="0"/>
          <w:numId w:val="1003"/>
        </w:numPr>
        <w:pStyle w:val="Compact"/>
      </w:pPr>
      <w:r>
        <w:rPr>
          <w:bCs/>
          <w:b/>
        </w:rPr>
        <w:t xml:space="preserve">Supply Chain Constraints</w:t>
      </w:r>
      <w:r>
        <w:t xml:space="preserve">: 12% of London secondary schools reported delayed shipments during August (peak term start period), impacting teacher planning cycles.</w:t>
      </w:r>
    </w:p>
    <w:p>
      <w:pPr>
        <w:numPr>
          <w:ilvl w:val="0"/>
          <w:numId w:val="1003"/>
        </w:numPr>
        <w:pStyle w:val="Compact"/>
      </w:pPr>
      <w:r>
        <w:rPr>
          <w:bCs/>
          <w:b/>
        </w:rPr>
        <w:t xml:space="preserve">Competitive Pressure</w:t>
      </w:r>
      <w:r>
        <w:t xml:space="preserve">: Local educational suppliers increased discounting in East London boroughs, requiring strategic pricing adjustments for Teacher Secondary products.</w:t>
      </w:r>
    </w:p>
    <w:p>
      <w:pPr>
        <w:pStyle w:val="FirstParagraph"/>
      </w:pPr>
      <w:r>
        <w:t xml:space="preserve">To address these, we've launched the "London Teacher Support Initiative" – a dedicated regional team providing same-week delivery and personalized onboarding for all Teacher Secondary clients in United Kingdom London. Early results show a 23% reduction in delivery complaints during September 2023.</w:t>
      </w:r>
    </w:p>
    <w:bookmarkEnd w:id="28"/>
    <w:bookmarkStart w:id="29" w:name="conclusion-forward-outlook"/>
    <w:p>
      <w:pPr>
        <w:pStyle w:val="Heading3"/>
      </w:pPr>
      <w:r>
        <w:t xml:space="preserve">Conclusion &amp; Forward Outlook</w:t>
      </w:r>
    </w:p>
    <w:p>
      <w:pPr>
        <w:pStyle w:val="FirstParagraph"/>
      </w:pPr>
      <w:r>
        <w:t xml:space="preserve">The Q3 2023 Sales Report unequivocally establishes Teacher Secondary as our most valuable customer segment within the United Kingdom London market, accounting for 67% of all regional sales. This success stems from our hyper-localized approach to London's educational landscape, understanding that secondary teachers in the capital face unique challenges compared to national averages.</w:t>
      </w:r>
    </w:p>
    <w:p>
      <w:pPr>
        <w:pStyle w:val="BodyText"/>
      </w:pPr>
      <w:r>
        <w:t xml:space="preserve">Looking ahead, we project a 35% year-on-year growth in Teacher Secondary sales for United Kingdom London through Q4 2023. Our target is securing contracts with 15 new London secondary schools by December, building on the strong foundation laid during Q3. This Sales Report confirms that our strategic focus on Teacher Secondary professionals across the United Kingdom's largest educational market remains a winning formula.</w:t>
      </w:r>
    </w:p>
    <w:p>
      <w:pPr>
        <w:pStyle w:val="BodyText"/>
      </w:pPr>
      <w:r>
        <w:rPr>
          <w:bCs/>
          <w:b/>
        </w:rPr>
        <w:t xml:space="preserve">Prepared By:</w:t>
      </w:r>
      <w:r>
        <w:t xml:space="preserve"> </w:t>
      </w:r>
      <w:r>
        <w:t xml:space="preserve">Regional Sales Director, Educational Resources Division</w:t>
      </w:r>
      <w:r>
        <w:br/>
      </w:r>
      <w:r>
        <w:rPr>
          <w:bCs/>
          <w:b/>
        </w:rPr>
        <w:t xml:space="preserve">Contact:</w:t>
      </w:r>
      <w:r>
        <w:t xml:space="preserve"> </w:t>
      </w:r>
      <w:r>
        <w:t xml:space="preserve">sales.london@educationresources.co.uk • +44 20 7946 8050</w:t>
      </w:r>
    </w:p>
    <w:p>
      <w:pPr>
        <w:pStyle w:val="BodyText"/>
      </w:pPr>
      <w:r>
        <w:rPr>
          <w:bCs/>
          <w:b/>
        </w:rPr>
        <w:t xml:space="preserve">Key Takeaway:</w:t>
      </w:r>
      <w:r>
        <w:t xml:space="preserve"> </w:t>
      </w:r>
      <w:r>
        <w:t xml:space="preserve">London's Teacher Secondary market has become our most profitable segment in the United Kingdom, demonstrating that specialized regional engagement drives sustainable growth. This Sales Report validates our investment in understanding the unique needs of secondary educators across London's diverse school environments.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Secondary Teacher Sales Performance Report - Q3 2023</dc:title>
  <dc:creator/>
  <dc:language>en</dc:language>
  <cp:keywords/>
  <dcterms:created xsi:type="dcterms:W3CDTF">2025-12-10T10:33:23Z</dcterms:created>
  <dcterms:modified xsi:type="dcterms:W3CDTF">2025-12-10T10:33:23Z</dcterms:modified>
</cp:coreProperties>
</file>

<file path=docProps/custom.xml><?xml version="1.0" encoding="utf-8"?>
<Properties xmlns="http://schemas.openxmlformats.org/officeDocument/2006/custom-properties" xmlns:vt="http://schemas.openxmlformats.org/officeDocument/2006/docPropsVTypes"/>
</file>