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4ef75120c1b10231812b8bb67c776a5b7e29cb6"/>
    <w:p>
      <w:pPr>
        <w:pStyle w:val="Heading1"/>
      </w:pPr>
      <w:r>
        <w:t xml:space="preserve">Sales Report: Teacher Secondary Educational Solutions in United States Miami</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Teacher Secondary educational solutions across the United States Miami region. Covering Q3 2023 through Q1 2024, the report analyzes sales trends for digital curriculum platforms, professional development programs, and classroom management tools specifically designed for secondary educators (grades 6-12) in Miami-Dade County Public Schools and surrounding districts. With Miami's secondary education sector serving over 380,000 students across 374 schools, our solutions have achieved a remarkable 24% YoY growth in licensed classrooms, demonstrating strong market alignment with the unique needs of Teacher Secondary professionals in this diverse urban landscape.</w:t>
      </w:r>
    </w:p>
    <w:bookmarkEnd w:id="20"/>
    <w:bookmarkStart w:id="21" w:name="X8f2b9c3f47cf0fbb69d49f1d17671e395ee7025"/>
    <w:p>
      <w:pPr>
        <w:pStyle w:val="Heading2"/>
      </w:pPr>
      <w:r>
        <w:t xml:space="preserve">Market Context: Miami's Secondary Education Landscape</w:t>
      </w:r>
    </w:p>
    <w:p>
      <w:pPr>
        <w:pStyle w:val="FirstParagraph"/>
      </w:pPr>
      <w:r>
        <w:t xml:space="preserve">The United States Miami market presents a complex yet high-potential environment for Teacher Secondary solutions. As the 4th largest school district in the nation, Miami-Dade County Public Schools (MDCPS) serves a culturally diverse student body with over 30% of students classified as English Language Learners and significant socioeconomic variation across neighborhoods. This diversity directly impacts teacher needs: secondary educators require adaptable resources that support multilingual instruction, trauma-informed pedagogy, and college/career readiness aligned with Florida's A+ Schools Program. Our sales data confirms this context drives 68% of our Miami contracts toward customizable digital platforms rather than standardized products.</w:t>
      </w:r>
    </w:p>
    <w:bookmarkEnd w:id="21"/>
    <w:bookmarkStart w:id="22" w:name="q3-2023---q1-2024-sales-performance"/>
    <w:p>
      <w:pPr>
        <w:pStyle w:val="Heading2"/>
      </w:pPr>
      <w:r>
        <w:t xml:space="preserve">Q3 2023 - Q1 2024 Sales Performance</w:t>
      </w:r>
    </w:p>
    <w:p>
      <w:pPr>
        <w:pStyle w:val="FirstParagraph"/>
      </w:pPr>
      <w:r>
        <w:t xml:space="preserve">Sales Category</w:t>
      </w:r>
    </w:p>
    <w:p>
      <w:pPr>
        <w:pStyle w:val="BodyText"/>
      </w:pPr>
      <w:r>
        <w:t xml:space="preserve">Q3 2023 (USD)</w:t>
      </w:r>
    </w:p>
    <w:p>
      <w:pPr>
        <w:pStyle w:val="BodyText"/>
      </w:pPr>
      <w:r>
        <w:t xml:space="preserve">Q4 2023 (USD)</w:t>
      </w:r>
    </w:p>
    <w:p>
      <w:pPr>
        <w:pStyle w:val="BodyText"/>
      </w:pPr>
      <w:r>
        <w:t xml:space="preserve">Q1 2024 (USD)</w:t>
      </w:r>
    </w:p>
    <w:p>
      <w:pPr>
        <w:pStyle w:val="BodyText"/>
      </w:pPr>
      <w:r>
        <w:t xml:space="preserve">% Change QoQ</w:t>
      </w:r>
    </w:p>
    <w:p>
      <w:pPr>
        <w:pStyle w:val="BodyText"/>
      </w:pPr>
      <w:r>
        <w:t xml:space="preserve">Digital Curriculum Licenses</w:t>
      </w:r>
    </w:p>
    <w:p>
      <w:pPr>
        <w:pStyle w:val="BodyText"/>
      </w:pPr>
      <w:r>
        <w:t xml:space="preserve">$185,000</w:t>
      </w:r>
    </w:p>
    <w:p>
      <w:pPr>
        <w:pStyle w:val="BodyText"/>
      </w:pPr>
      <w:r>
        <w:t xml:space="preserve">$217,500</w:t>
      </w:r>
    </w:p>
    <w:p>
      <w:pPr>
        <w:pStyle w:val="BodyText"/>
      </w:pPr>
      <w:r>
        <w:t xml:space="preserve">$243,800</w:t>
      </w:r>
    </w:p>
    <w:p>
      <w:pPr>
        <w:pStyle w:val="BodyText"/>
      </w:pPr>
      <w:r>
        <w:t xml:space="preserve">+12.1%</w:t>
      </w:r>
    </w:p>
    <w:p>
      <w:pPr>
        <w:pStyle w:val="BodyText"/>
      </w:pPr>
      <w:r>
        <w:t xml:space="preserve">Professional Development Workshops</w:t>
      </w:r>
    </w:p>
    <w:p>
      <w:pPr>
        <w:pStyle w:val="BodyText"/>
      </w:pPr>
      <w:r>
        <w:t xml:space="preserve">Strongest Growth Segment (38% QoQ)</w:t>
      </w:r>
    </w:p>
    <w:p>
      <w:pPr>
        <w:pStyle w:val="BodyText"/>
      </w:pPr>
      <w:r>
        <w:t xml:space="preserve">  - Teacher Secondary Certification Prep</w:t>
      </w:r>
    </w:p>
    <w:p>
      <w:pPr>
        <w:pStyle w:val="BodyText"/>
      </w:pPr>
      <w:r>
        <w:t xml:space="preserve">$42,000</w:t>
      </w:r>
    </w:p>
    <w:p>
      <w:pPr>
        <w:pStyle w:val="BodyText"/>
      </w:pPr>
      <w:r>
        <w:t xml:space="preserve">$56,800</w:t>
      </w:r>
    </w:p>
    <w:p>
      <w:pPr>
        <w:pStyle w:val="BodyText"/>
      </w:pPr>
      <w:r>
        <w:t xml:space="preserve">$69,200</w:t>
      </w:r>
    </w:p>
    <w:p>
      <w:pPr>
        <w:pStyle w:val="BodyText"/>
      </w:pPr>
      <w:r>
        <w:t xml:space="preserve">+21.8%</w:t>
      </w:r>
    </w:p>
    <w:p>
      <w:pPr>
        <w:pStyle w:val="BodyText"/>
      </w:pPr>
      <w:r>
        <w:t xml:space="preserve">  - Tech Integration Training (for Secondary)</w:t>
      </w:r>
    </w:p>
    <w:p>
      <w:pPr>
        <w:pStyle w:val="BodyText"/>
      </w:pPr>
      <w:r>
        <w:t xml:space="preserve">$18,750 → $24,150 → $31,900</w:t>
      </w:r>
    </w:p>
    <w:p>
      <w:pPr>
        <w:pStyle w:val="BodyText"/>
      </w:pPr>
      <w:r>
        <w:t xml:space="preserve">Classroom Analytics Tools</w:t>
      </w:r>
    </w:p>
    <w:p>
      <w:pPr>
        <w:pStyle w:val="BodyText"/>
      </w:pPr>
      <w:r>
        <w:t xml:space="preserve">$78,200</w:t>
      </w:r>
    </w:p>
    <w:p>
      <w:pPr>
        <w:pStyle w:val="BodyText"/>
      </w:pPr>
      <w:r>
        <w:t xml:space="preserve">$94,650</w:t>
      </w:r>
    </w:p>
    <w:p>
      <w:pPr>
        <w:pStyle w:val="BodyText"/>
      </w:pPr>
      <w:r>
        <w:t xml:space="preserve">$112,350</w:t>
      </w:r>
    </w:p>
    <w:p>
      <w:pPr>
        <w:pStyle w:val="BodyText"/>
      </w:pPr>
      <w:r>
        <w:t xml:space="preserve">+18.7%</w:t>
      </w:r>
    </w:p>
    <w:p>
      <w:pPr>
        <w:pStyle w:val="BodyText"/>
      </w:pPr>
      <w:r>
        <w:t xml:space="preserve">Total Revenue (Miami)</w:t>
      </w:r>
    </w:p>
    <w:p>
      <w:pPr>
        <w:pStyle w:val="BodyText"/>
      </w:pPr>
      <w:r>
        <w:t xml:space="preserve">$314,900 → $377,650 → $425,650</w:t>
      </w:r>
    </w:p>
    <w:p>
      <w:pPr>
        <w:pStyle w:val="BodyText"/>
      </w:pPr>
      <w:r>
        <w:t xml:space="preserve">+18.2% QoQ</w:t>
      </w:r>
    </w:p>
    <w:p>
      <w:pPr>
        <w:pStyle w:val="BodyText"/>
      </w:pPr>
      <w:r>
        <w:t xml:space="preserve">Key Insight: The 38% growth in Professional Development services directly correlates with Miami-Dade's 2023 Teacher Retention Initiative, which prioritized upskilling for secondary educators. Our "Secondary Mastery Pathway" workshops saw a 76% adoption rate among Miami high schools seeking Florida Department of Education accreditation.</w:t>
      </w:r>
    </w:p>
    <w:bookmarkEnd w:id="22"/>
    <w:bookmarkStart w:id="23" w:name="Xcf711796e3052e5ae5c29346dfeb1fe306e1cb2"/>
    <w:p>
      <w:pPr>
        <w:pStyle w:val="Heading2"/>
      </w:pPr>
      <w:r>
        <w:t xml:space="preserve">Market Analysis: Why Miami Succeeds for Teacher Secondary Solutions</w:t>
      </w:r>
    </w:p>
    <w:p>
      <w:pPr>
        <w:pStyle w:val="FirstParagraph"/>
      </w:pPr>
      <w:r>
        <w:t xml:space="preserve">Miami's unique educational ecosystem creates distinct opportunities for Teacher Secondary-focused sales. Three factors drive our success:</w:t>
      </w:r>
    </w:p>
    <w:p>
      <w:pPr>
        <w:numPr>
          <w:ilvl w:val="0"/>
          <w:numId w:val="1001"/>
        </w:numPr>
        <w:pStyle w:val="Compact"/>
      </w:pPr>
      <w:r>
        <w:rPr>
          <w:bCs/>
          <w:b/>
        </w:rPr>
        <w:t xml:space="preserve">Cultural Relevance Demand:</w:t>
      </w:r>
      <w:r>
        <w:t xml:space="preserve"> </w:t>
      </w:r>
      <w:r>
        <w:t xml:space="preserve">54% of Miami secondary teachers report needing materials reflecting Latinx, Caribbean, and African American student experiences. Our localized content library (featuring 120+ culturally responsive lesson plans) drives 83% of contract renewals.</w:t>
      </w:r>
    </w:p>
    <w:p>
      <w:pPr>
        <w:numPr>
          <w:ilvl w:val="0"/>
          <w:numId w:val="1001"/>
        </w:numPr>
        <w:pStyle w:val="Compact"/>
      </w:pPr>
      <w:r>
        <w:rPr>
          <w:bCs/>
          <w:b/>
        </w:rPr>
        <w:t xml:space="preserve">Technology Adoption Rate:</w:t>
      </w:r>
      <w:r>
        <w:t xml:space="preserve"> </w:t>
      </w:r>
      <w:r>
        <w:t xml:space="preserve">Miami leads Florida in device-to-student ratios (2:1). Schools actively seek integrated solutions, making our platform's compatibility with Google Classroom and Seesaw a decisive competitive advantage.</w:t>
      </w:r>
    </w:p>
    <w:p>
      <w:pPr>
        <w:numPr>
          <w:ilvl w:val="0"/>
          <w:numId w:val="1001"/>
        </w:numPr>
        <w:pStyle w:val="Compact"/>
      </w:pPr>
      <w:r>
        <w:rPr>
          <w:bCs/>
          <w:b/>
        </w:rPr>
        <w:t xml:space="preserve">District-Wide Initiatives:</w:t>
      </w:r>
      <w:r>
        <w:t xml:space="preserve"> </w:t>
      </w:r>
      <w:r>
        <w:t xml:space="preserve">MDCPS' "Digital Transformation 2025" mandates tech-enhanced secondary instruction. This created a 300% surge in RFPs for Teacher Secondary solutions in Q4 2023, directly fueling our sales pipeline.</w:t>
      </w:r>
    </w:p>
    <w:bookmarkEnd w:id="23"/>
    <w:bookmarkStart w:id="24" w:name="Xcdaf60535115e1bf7691a38e89d75ab43f66b5f"/>
    <w:p>
      <w:pPr>
        <w:pStyle w:val="Heading2"/>
      </w:pPr>
      <w:r>
        <w:t xml:space="preserve">Competitive Differentiation in United States Miami</w:t>
      </w:r>
    </w:p>
    <w:p>
      <w:pPr>
        <w:pStyle w:val="FirstParagraph"/>
      </w:pPr>
      <w:r>
        <w:t xml:space="preserve">While national competitors offer generic secondary tools, our Miami strategy focuses on hyper-localized value:</w:t>
      </w:r>
    </w:p>
    <w:p>
      <w:pPr>
        <w:numPr>
          <w:ilvl w:val="0"/>
          <w:numId w:val="1002"/>
        </w:numPr>
        <w:pStyle w:val="Compact"/>
      </w:pPr>
      <w:r>
        <w:rPr>
          <w:bCs/>
          <w:b/>
        </w:rPr>
        <w:t xml:space="preserve">Florida Standards Alignment:</w:t>
      </w:r>
      <w:r>
        <w:t xml:space="preserve"> </w:t>
      </w:r>
      <w:r>
        <w:t xml:space="preserve">All content maps directly to Florida B.E.S.T. Standards (replacing Common Core), a non-negotiable for Miami schools.</w:t>
      </w:r>
    </w:p>
    <w:p>
      <w:pPr>
        <w:numPr>
          <w:ilvl w:val="0"/>
          <w:numId w:val="1002"/>
        </w:numPr>
        <w:pStyle w:val="Compact"/>
      </w:pPr>
      <w:r>
        <w:rPr>
          <w:bCs/>
          <w:b/>
        </w:rPr>
        <w:t xml:space="preserve">Socioeconomic Adaptation:</w:t>
      </w:r>
      <w:r>
        <w:t xml:space="preserve"> </w:t>
      </w:r>
      <w:r>
        <w:t xml:space="preserve">Our "Resource Equity Toolkit" provides low-bandwidth options for Title I schools – critical in Miami's 72% high-poverty districts.</w:t>
      </w:r>
    </w:p>
    <w:p>
      <w:pPr>
        <w:numPr>
          <w:ilvl w:val="0"/>
          <w:numId w:val="1002"/>
        </w:numPr>
        <w:pStyle w:val="Compact"/>
      </w:pPr>
      <w:r>
        <w:rPr>
          <w:bCs/>
          <w:b/>
        </w:rPr>
        <w:t xml:space="preserve">Language Support:</w:t>
      </w:r>
      <w:r>
        <w:t xml:space="preserve"> </w:t>
      </w:r>
      <w:r>
        <w:t xml:space="preserve">Real-time Spanish/English toggle features address Miami's dual-language needs, reducing teacher preparation time by 40% (per district survey).</w:t>
      </w:r>
    </w:p>
    <w:bookmarkEnd w:id="24"/>
    <w:bookmarkStart w:id="25" w:name="challenges-and-strategic-response"/>
    <w:p>
      <w:pPr>
        <w:pStyle w:val="Heading2"/>
      </w:pPr>
      <w:r>
        <w:t xml:space="preserve">Challenges and Strategic Response</w:t>
      </w:r>
    </w:p>
    <w:p>
      <w:pPr>
        <w:pStyle w:val="FirstParagraph"/>
      </w:pPr>
      <w:r>
        <w:t xml:space="preserve">We encountered significant hurdles during Q3 2023:</w:t>
      </w:r>
    </w:p>
    <w:p>
      <w:pPr>
        <w:pStyle w:val="BlockText"/>
      </w:pPr>
      <w:r>
        <w:t xml:space="preserve">"Initial resistance from Miami high school principals regarding pricing structure," states Maria Chen, Regional Sales Director. "They cited budget constraints from recent state funding cuts."</w:t>
      </w:r>
    </w:p>
    <w:p>
      <w:pPr>
        <w:pStyle w:val="FirstParagraph"/>
      </w:pPr>
      <w:r>
        <w:t xml:space="preserve">Our solution: Launched a tiered licensing model with "Essential" packages ($99/classroom/year) for Title I schools and premium analytics for magnet programs. This resulted in a 57% increase in low-income school contracts within two quarters.</w:t>
      </w:r>
    </w:p>
    <w:bookmarkEnd w:id="25"/>
    <w:bookmarkStart w:id="26" w:name="future-projections-strategic-priorities"/>
    <w:p>
      <w:pPr>
        <w:pStyle w:val="Heading2"/>
      </w:pPr>
      <w:r>
        <w:t xml:space="preserve">Future Projections &amp; Strategic Priorities</w:t>
      </w:r>
    </w:p>
    <w:p>
      <w:pPr>
        <w:pStyle w:val="FirstParagraph"/>
      </w:pPr>
      <w:r>
        <w:t xml:space="preserve">Based on Miami's market trajectory, we project:</w:t>
      </w:r>
    </w:p>
    <w:p>
      <w:pPr>
        <w:numPr>
          <w:ilvl w:val="0"/>
          <w:numId w:val="1003"/>
        </w:numPr>
        <w:pStyle w:val="Compact"/>
      </w:pPr>
      <w:r>
        <w:rPr>
          <w:bCs/>
          <w:b/>
        </w:rPr>
        <w:t xml:space="preserve">30% Revenue Growth for 2024</w:t>
      </w:r>
      <w:r>
        <w:t xml:space="preserve">: Driven by MDCPS' new STEM initiative requiring secondary teacher certification.</w:t>
      </w:r>
    </w:p>
    <w:p>
      <w:pPr>
        <w:numPr>
          <w:ilvl w:val="0"/>
          <w:numId w:val="1003"/>
        </w:numPr>
        <w:pStyle w:val="Compact"/>
      </w:pPr>
      <w:r>
        <w:rPr>
          <w:bCs/>
          <w:b/>
        </w:rPr>
        <w:t xml:space="preserve">New Product Launch: "Miami Secondary Connect"</w:t>
      </w:r>
      <w:r>
        <w:t xml:space="preserve">: A district-wide professional learning community platform targeting teacher collaboration (launching Q3 2024).</w:t>
      </w:r>
    </w:p>
    <w:p>
      <w:pPr>
        <w:numPr>
          <w:ilvl w:val="0"/>
          <w:numId w:val="1003"/>
        </w:numPr>
        <w:pStyle w:val="Compact"/>
      </w:pPr>
      <w:r>
        <w:rPr>
          <w:bCs/>
          <w:b/>
        </w:rPr>
        <w:t xml:space="preserve">Partnership Expansion</w:t>
      </w:r>
      <w:r>
        <w:t xml:space="preserve">: Formalizing alliances with Miami-Dade Community College's Teacher Certification Program to co-develop curriculum.</w:t>
      </w:r>
    </w:p>
    <w:bookmarkEnd w:id="26"/>
    <w:bookmarkStart w:id="27" w:name="X3f3438a27e211a6b840c1fc94667cf4a37128c5"/>
    <w:p>
      <w:pPr>
        <w:pStyle w:val="Heading2"/>
      </w:pPr>
      <w:r>
        <w:t xml:space="preserve">Conclusion: The Miami Advantage for Teacher Secondary Solutions</w:t>
      </w:r>
    </w:p>
    <w:p>
      <w:pPr>
        <w:pStyle w:val="FirstParagraph"/>
      </w:pPr>
      <w:r>
        <w:t xml:space="preserve">The United States Miami market has proven to be a critical proving ground for effective Teacher Secondary solutions. Our 18.2% quarterly sales growth – outpacing the national education tech average of 9.3% – validates that hyper-localized, culturally responsive educational tools are not just valuable but essential for secondary educators in diverse urban environments. Miami's unique intersection of rapid demographic change, technological adoption, and policy initiatives creates a replicable model for Teacher Secondary sales nationwide.</w:t>
      </w:r>
    </w:p>
    <w:p>
      <w:pPr>
        <w:pStyle w:val="BodyText"/>
      </w:pPr>
      <w:r>
        <w:t xml:space="preserve">As the largest school district serving a multicultural student population in the U.S., Miami demonstrates that when solutions address the specific challenges faced by Teacher Secondary professionals – from language diversity to resource equity – they become indispensable. Our strategic focus on Miami's evolving educational landscape ensures not only sustained sales growth but also meaningful impact on secondary education outcomes across America. The lessons learned from our Teacher Secondary Sales Report in United States Miami will directly inform our national expansion strategy for 2025.</w:t>
      </w:r>
    </w:p>
    <w:p>
      <w:pPr>
        <w:pStyle w:val="BodyText"/>
      </w:pPr>
      <w:r>
        <w:rPr>
          <w:bCs/>
          <w:b/>
        </w:rPr>
        <w:t xml:space="preserve">Prepared By:</w:t>
      </w:r>
      <w:r>
        <w:t xml:space="preserve"> </w:t>
      </w:r>
      <w:r>
        <w:t xml:space="preserve">National Education Solutions Group, Miami Regional Office</w:t>
      </w:r>
      <w:r>
        <w:br/>
      </w:r>
      <w:r>
        <w:rPr>
          <w:bCs/>
          <w:b/>
        </w:rPr>
        <w:t xml:space="preserve">Date:</w:t>
      </w:r>
      <w:r>
        <w:t xml:space="preserve"> </w:t>
      </w:r>
      <w:r>
        <w:t xml:space="preserve">February 15, 2024</w:t>
      </w:r>
      <w:r>
        <w:br/>
      </w:r>
      <w:r>
        <w:rPr>
          <w:bCs/>
          <w:b/>
        </w:rPr>
        <w:t xml:space="preserve">Confidential: Internal Use Only – Miami Sales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United States Miami Market Analysis</dc:title>
  <dc:creator/>
  <dc:language>en</dc:language>
  <cp:keywords/>
  <dcterms:created xsi:type="dcterms:W3CDTF">2026-07-24T17:19:32Z</dcterms:created>
  <dcterms:modified xsi:type="dcterms:W3CDTF">2026-07-24T17:19:32Z</dcterms:modified>
</cp:coreProperties>
</file>

<file path=docProps/custom.xml><?xml version="1.0" encoding="utf-8"?>
<Properties xmlns="http://schemas.openxmlformats.org/officeDocument/2006/custom-properties" xmlns:vt="http://schemas.openxmlformats.org/officeDocument/2006/docPropsVTypes"/>
</file>