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Education</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35" w:name="X467675a93182b558ba2189c45ec3f7327d75075"/>
    <w:p>
      <w:pPr>
        <w:pStyle w:val="Heading1"/>
      </w:pPr>
      <w:r>
        <w:t xml:space="preserve">2023 Q4 Sales Performance Report: Secondary Education Products for New York City School Districts</w:t>
      </w:r>
    </w:p>
    <w:bookmarkStart w:id="20" w:name="X2719d40a43ffd94b02bcc8d30564971219138f5"/>
    <w:p>
      <w:pPr>
        <w:pStyle w:val="Heading2"/>
      </w:pPr>
      <w:r>
        <w:t xml:space="preserve">Prepared For: Executive Leadership, United States Educational Services Division</w:t>
      </w:r>
    </w:p>
    <w:p>
      <w:pPr>
        <w:pStyle w:val="FirstParagraph"/>
      </w:pPr>
      <w:r>
        <w:t xml:space="preserve">Date: January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educational products and professional development services targeted specifically at Secondary Teachers across New York City school districts. As the largest urban education market in the United States, NYC represents a critical growth frontier where we have achieved a 27% year-over-year increase in secondary education product sales. Our strategic focus on curriculum-aligned materials for Teacher Secondary needs has yielded remarkable results amid NYC's evolving educational landscape.</w:t>
      </w:r>
    </w:p>
    <w:bookmarkEnd w:id="21"/>
    <w:bookmarkStart w:id="22" w:name="X5c07584777e5afb7626d2bc3d399598f7a9ba9f"/>
    <w:p>
      <w:pPr>
        <w:pStyle w:val="Heading2"/>
      </w:pPr>
      <w:r>
        <w:t xml:space="preserve">Market Context: New York City's Secondary Education Imperative</w:t>
      </w:r>
    </w:p>
    <w:p>
      <w:pPr>
        <w:pStyle w:val="FirstParagraph"/>
      </w:pPr>
      <w:r>
        <w:t xml:space="preserve">New York City Public Schools serve over 1 million students across 1,800+ schools, with secondary (grades 6-12) enrollment representing approximately 45% of the total student body. The NYC Department of Education (NYCDOE) has prioritized "Personalized Learning Pathways" for secondary students in its current strategic plan, creating unprecedented demand for adaptive teaching resources. This report details how our solutions have become integral to this mission.</w:t>
      </w:r>
    </w:p>
    <w:bookmarkEnd w:id="22"/>
    <w:bookmarkStart w:id="25" w:name="q4-sales-performance-analysis"/>
    <w:p>
      <w:pPr>
        <w:pStyle w:val="Heading2"/>
      </w:pPr>
      <w:r>
        <w:t xml:space="preserve">Q4 Sales Performance Analysis</w:t>
      </w:r>
    </w:p>
    <w:bookmarkStart w:id="23" w:name="revenue-metrics"/>
    <w:p>
      <w:pPr>
        <w:pStyle w:val="Heading3"/>
      </w:pPr>
      <w:r>
        <w:t xml:space="preserve">Revenue Metrics</w:t>
      </w:r>
    </w:p>
    <w:p>
      <w:pPr>
        <w:pStyle w:val="FirstParagraph"/>
      </w:pPr>
      <w:r>
        <w:t xml:space="preserve">Product Category</w:t>
      </w:r>
    </w:p>
    <w:p>
      <w:pPr>
        <w:pStyle w:val="BodyText"/>
      </w:pPr>
      <w:r>
        <w:t xml:space="preserve">Q4 2023 Revenue (USD)</w:t>
      </w:r>
    </w:p>
    <w:p>
      <w:pPr>
        <w:pStyle w:val="BodyText"/>
      </w:pPr>
      <w:r>
        <w:t xml:space="preserve">% of Total Secondary Sales</w:t>
      </w:r>
    </w:p>
    <w:p>
      <w:pPr>
        <w:pStyle w:val="BodyText"/>
      </w:pPr>
      <w:r>
        <w:t xml:space="preserve">YoY Growth</w:t>
      </w:r>
    </w:p>
    <w:p>
      <w:pPr>
        <w:pStyle w:val="BodyText"/>
      </w:pPr>
      <w:r>
        <w:t xml:space="preserve">Digital Curriculum Platforms</w:t>
      </w:r>
    </w:p>
    <w:p>
      <w:pPr>
        <w:pStyle w:val="BodyText"/>
      </w:pPr>
      <w:r>
        <w:t xml:space="preserve">$1,850,200</w:t>
      </w:r>
    </w:p>
    <w:p>
      <w:pPr>
        <w:pStyle w:val="BodyText"/>
      </w:pPr>
      <w:r>
        <w:t xml:space="preserve">42%</w:t>
      </w:r>
    </w:p>
    <w:p>
      <w:pPr>
        <w:pStyle w:val="BodyText"/>
      </w:pPr>
      <w:r>
        <w:t xml:space="preserve">+34%</w:t>
      </w:r>
    </w:p>
    <w:p>
      <w:pPr>
        <w:pStyle w:val="BodyText"/>
      </w:pPr>
      <w:r>
        <w:t xml:space="preserve">Total Secondary Education Products</w:t>
      </w:r>
    </w:p>
    <w:p>
      <w:pPr>
        <w:pStyle w:val="BodyText"/>
      </w:pPr>
      <w:r>
        <w:rPr>
          <w:bCs/>
          <w:b/>
        </w:rPr>
        <w:t xml:space="preserve">$4,398,750</w:t>
      </w:r>
    </w:p>
    <w:p>
      <w:pPr>
        <w:pStyle w:val="BodyText"/>
      </w:pPr>
      <w:r>
        <w:rPr>
          <w:bCs/>
          <w:b/>
        </w:rPr>
        <w:t xml:space="preserve">100%</w:t>
      </w:r>
    </w:p>
    <w:p>
      <w:pPr>
        <w:pStyle w:val="BodyText"/>
      </w:pPr>
      <w:r>
        <w:rPr>
          <w:bCs/>
          <w:b/>
        </w:rPr>
        <w:t xml:space="preserve">+27%</w:t>
      </w:r>
    </w:p>
    <w:bookmarkEnd w:id="23"/>
    <w:bookmarkStart w:id="24" w:name="Xfaf2de40fdf52422689f2e0f54d3f9a22592c57"/>
    <w:p>
      <w:pPr>
        <w:pStyle w:val="Heading3"/>
      </w:pPr>
      <w:r>
        <w:t xml:space="preserve">Key Achievement: Teacher Secondary Adoption Rate</w:t>
      </w:r>
    </w:p>
    <w:p>
      <w:pPr>
        <w:pStyle w:val="FirstParagraph"/>
      </w:pPr>
      <w:r>
        <w:t xml:space="preserve">Our flagship platform "EdConnect Secondary Suite" achieved 68% adoption across NYC Department of Education high schools – a 22-point increase from Q4 2022. This represents the highest Teacher Secondary adoption rate in any major U.S. school district, directly attributed to our targeted sales strategy addressing NYC's unique challenges:</w:t>
      </w:r>
    </w:p>
    <w:p>
      <w:pPr>
        <w:numPr>
          <w:ilvl w:val="0"/>
          <w:numId w:val="1001"/>
        </w:numPr>
        <w:pStyle w:val="Compact"/>
      </w:pPr>
      <w:r>
        <w:t xml:space="preserve">State-mandated Regents exam preparation tools (15% of sales)</w:t>
      </w:r>
    </w:p>
    <w:p>
      <w:pPr>
        <w:numPr>
          <w:ilvl w:val="0"/>
          <w:numId w:val="1001"/>
        </w:numPr>
        <w:pStyle w:val="Compact"/>
      </w:pPr>
      <w:r>
        <w:t xml:space="preserve">Culturally responsive curriculum modules (32% of sales)</w:t>
      </w:r>
    </w:p>
    <w:p>
      <w:pPr>
        <w:numPr>
          <w:ilvl w:val="0"/>
          <w:numId w:val="1001"/>
        </w:numPr>
        <w:pStyle w:val="Compact"/>
      </w:pPr>
      <w:r>
        <w:t xml:space="preserve">Remote/hybrid teaching support systems (24% of sales)</w:t>
      </w:r>
    </w:p>
    <w:bookmarkEnd w:id="24"/>
    <w:bookmarkEnd w:id="25"/>
    <w:bookmarkStart w:id="28" w:name="nyc-specific-sales-drivers"/>
    <w:p>
      <w:pPr>
        <w:pStyle w:val="Heading2"/>
      </w:pPr>
      <w:r>
        <w:t xml:space="preserve">NYC-Specific Sales Drivers</w:t>
      </w:r>
    </w:p>
    <w:bookmarkStart w:id="26" w:name="X8d07d425cb70970c0f9ca636145e3bdd469c893"/>
    <w:p>
      <w:pPr>
        <w:pStyle w:val="Heading3"/>
      </w:pPr>
      <w:r>
        <w:t xml:space="preserve">Alignment with NYCDOE Strategic Priorities</w:t>
      </w:r>
    </w:p>
    <w:p>
      <w:pPr>
        <w:pStyle w:val="FirstParagraph"/>
      </w:pPr>
      <w:r>
        <w:t xml:space="preserve">All our secondary education products were re-engineered in Q1 2023 to align with NYCDOE's "Equity and Excellence" framework. This strategic adjustment directly contributed to our sales growth through:</w:t>
      </w:r>
    </w:p>
    <w:p>
      <w:pPr>
        <w:numPr>
          <w:ilvl w:val="0"/>
          <w:numId w:val="1002"/>
        </w:numPr>
        <w:pStyle w:val="Compact"/>
      </w:pPr>
      <w:r>
        <w:t xml:space="preserve">Integration with NYC's Student Progress Dashboard (SPD)</w:t>
      </w:r>
    </w:p>
    <w:p>
      <w:pPr>
        <w:numPr>
          <w:ilvl w:val="0"/>
          <w:numId w:val="1002"/>
        </w:numPr>
        <w:pStyle w:val="Compact"/>
      </w:pPr>
      <w:r>
        <w:t xml:space="preserve">Compliance with New York State Education Department (NYSED) standards</w:t>
      </w:r>
    </w:p>
    <w:p>
      <w:pPr>
        <w:numPr>
          <w:ilvl w:val="0"/>
          <w:numId w:val="1002"/>
        </w:numPr>
        <w:pStyle w:val="Compact"/>
      </w:pPr>
      <w:r>
        <w:t xml:space="preserve">Customization for diverse student populations in NYC schools</w:t>
      </w:r>
    </w:p>
    <w:bookmarkEnd w:id="26"/>
    <w:bookmarkStart w:id="27" w:name="the-teacher-secondary-demand-curve"/>
    <w:p>
      <w:pPr>
        <w:pStyle w:val="Heading3"/>
      </w:pPr>
      <w:r>
        <w:t xml:space="preserve">The Teacher Secondary Demand Curve</w:t>
      </w:r>
    </w:p>
    <w:p>
      <w:pPr>
        <w:pStyle w:val="FirstParagraph"/>
      </w:pPr>
      <w:r>
        <w:t xml:space="preserve">Data reveals a distinct pattern in our secondary teacher adoption cycle. Our sales team observed that 89% of Teacher Secondary purchases occur during the first semester, driven by:</w:t>
      </w:r>
    </w:p>
    <w:p>
      <w:pPr>
        <w:numPr>
          <w:ilvl w:val="0"/>
          <w:numId w:val="1003"/>
        </w:numPr>
        <w:pStyle w:val="Compact"/>
      </w:pPr>
      <w:r>
        <w:t xml:space="preserve">August-September curriculum planning cycles</w:t>
      </w:r>
    </w:p>
    <w:p>
      <w:pPr>
        <w:numPr>
          <w:ilvl w:val="0"/>
          <w:numId w:val="1003"/>
        </w:numPr>
        <w:pStyle w:val="Compact"/>
      </w:pPr>
      <w:r>
        <w:t xml:space="preserve">New York State's mandatory Professional Development requirements for secondary teachers</w:t>
      </w:r>
    </w:p>
    <w:p>
      <w:pPr>
        <w:numPr>
          <w:ilvl w:val="0"/>
          <w:numId w:val="1003"/>
        </w:numPr>
        <w:pStyle w:val="Compact"/>
      </w:pPr>
      <w:r>
        <w:t xml:space="preserve">Post-Regents exam analysis needs (June-July)</w:t>
      </w:r>
    </w:p>
    <w:bookmarkEnd w:id="27"/>
    <w:bookmarkEnd w:id="28"/>
    <w:bookmarkStart w:id="29" w:name="regional-sales-performance-breakdown"/>
    <w:p>
      <w:pPr>
        <w:pStyle w:val="Heading2"/>
      </w:pPr>
      <w:r>
        <w:t xml:space="preserve">Regional Sales Performance Breakdown</w:t>
      </w:r>
    </w:p>
    <w:p>
      <w:pPr>
        <w:pStyle w:val="FirstParagraph"/>
      </w:pPr>
      <w:r>
        <w:t xml:space="preserve">District</w:t>
      </w:r>
    </w:p>
    <w:p>
      <w:pPr>
        <w:pStyle w:val="BodyText"/>
      </w:pPr>
      <w:r>
        <w:t xml:space="preserve">Revenue (USD)</w:t>
      </w:r>
    </w:p>
    <w:p>
      <w:pPr>
        <w:pStyle w:val="BodyText"/>
      </w:pPr>
      <w:r>
        <w:t xml:space="preserve">% of NYC Total</w:t>
      </w:r>
    </w:p>
    <w:p>
      <w:pPr>
        <w:pStyle w:val="BodyText"/>
      </w:pPr>
      <w:r>
        <w:t xml:space="preserve">Top Product Sold</w:t>
      </w:r>
    </w:p>
    <w:p>
      <w:pPr>
        <w:pStyle w:val="BodyText"/>
      </w:pPr>
      <w:r>
        <w:t xml:space="preserve">New York City Public Schools (District-Wide)</w:t>
      </w:r>
    </w:p>
    <w:p>
      <w:pPr>
        <w:pStyle w:val="BodyText"/>
      </w:pPr>
      <w:r>
        <w:t xml:space="preserve">$4,120,500</w:t>
      </w:r>
    </w:p>
    <w:p>
      <w:pPr>
        <w:pStyle w:val="BodyText"/>
      </w:pPr>
      <w:r>
        <w:t xml:space="preserve">93.7%</w:t>
      </w:r>
    </w:p>
    <w:p>
      <w:pPr>
        <w:pStyle w:val="BodyText"/>
      </w:pPr>
      <w:r>
        <w:t xml:space="preserve">EdConnect Secondary Suite</w:t>
      </w:r>
    </w:p>
    <w:p>
      <w:pPr>
        <w:pStyle w:val="BodyText"/>
      </w:pPr>
      <w:r>
        <w:t xml:space="preserve">Bronx School District</w:t>
      </w:r>
    </w:p>
    <w:p>
      <w:pPr>
        <w:pStyle w:val="BodyText"/>
      </w:pPr>
      <w:r>
        <w:t xml:space="preserve">$185,200</w:t>
      </w:r>
    </w:p>
    <w:p>
      <w:pPr>
        <w:pStyle w:val="BodyText"/>
      </w:pPr>
      <w:r>
        <w:t xml:space="preserve">4.2%</w:t>
      </w:r>
    </w:p>
    <w:p>
      <w:pPr>
        <w:pStyle w:val="BodyText"/>
      </w:pPr>
      <w:r>
        <w:t xml:space="preserve">Culturally Responsive Math Modules</w:t>
      </w:r>
    </w:p>
    <w:p>
      <w:pPr>
        <w:pStyle w:val="BodyText"/>
      </w:pPr>
      <w:r>
        <w:t xml:space="preserve">Total (NYC)</w:t>
      </w:r>
    </w:p>
    <w:p>
      <w:pPr>
        <w:pStyle w:val="BodyText"/>
      </w:pPr>
      <w:r>
        <w:rPr>
          <w:bCs/>
          <w:b/>
        </w:rPr>
        <w:t xml:space="preserve">$4,398,750</w:t>
      </w:r>
    </w:p>
    <w:p>
      <w:pPr>
        <w:pStyle w:val="BodyText"/>
      </w:pPr>
      <w:r>
        <w:rPr>
          <w:bCs/>
          <w:b/>
        </w:rPr>
        <w:t xml:space="preserve">100%</w:t>
      </w:r>
    </w:p>
    <w:p>
      <w:pPr>
        <w:pStyle w:val="BodyText"/>
      </w:pPr>
      <w:r>
        <w:rPr>
          <w:bCs/>
          <w:b/>
        </w:rPr>
        <w:t xml:space="preserve">-</w:t>
      </w:r>
    </w:p>
    <w:bookmarkEnd w:id="29"/>
    <w:bookmarkStart w:id="32" w:name="challenges-strategic-opportunities"/>
    <w:p>
      <w:pPr>
        <w:pStyle w:val="Heading2"/>
      </w:pPr>
      <w:r>
        <w:t xml:space="preserve">Challenges &amp; Strategic Opportunities</w:t>
      </w:r>
    </w:p>
    <w:bookmarkStart w:id="30" w:name="market-specific-challenges-in-nyc"/>
    <w:p>
      <w:pPr>
        <w:pStyle w:val="Heading3"/>
      </w:pPr>
      <w:r>
        <w:t xml:space="preserve">Market-Specific Challenges in NYC</w:t>
      </w:r>
    </w:p>
    <w:p>
      <w:pPr>
        <w:pStyle w:val="FirstParagraph"/>
      </w:pPr>
      <w:r>
        <w:t xml:space="preserve">Despite strong performance, we identified critical challenges unique to New York City secondary education:</w:t>
      </w:r>
    </w:p>
    <w:p>
      <w:pPr>
        <w:numPr>
          <w:ilvl w:val="0"/>
          <w:numId w:val="1004"/>
        </w:numPr>
        <w:pStyle w:val="Compact"/>
      </w:pPr>
      <w:r>
        <w:rPr>
          <w:bCs/>
          <w:b/>
        </w:rPr>
        <w:t xml:space="preserve">Budget Constraints:</w:t>
      </w:r>
      <w:r>
        <w:t xml:space="preserve"> </w:t>
      </w:r>
      <w:r>
        <w:t xml:space="preserve">67% of NYC secondary schools operate under reduced budgets following state funding changes (2023)</w:t>
      </w:r>
    </w:p>
    <w:p>
      <w:pPr>
        <w:numPr>
          <w:ilvl w:val="0"/>
          <w:numId w:val="1004"/>
        </w:numPr>
        <w:pStyle w:val="Compact"/>
      </w:pPr>
      <w:r>
        <w:rPr>
          <w:bCs/>
          <w:b/>
        </w:rPr>
        <w:t xml:space="preserve">Teacher Turnover:</w:t>
      </w:r>
      <w:r>
        <w:t xml:space="preserve"> </w:t>
      </w:r>
      <w:r>
        <w:t xml:space="preserve">24% annual attrition rate among Teacher Secondary in high-need schools</w:t>
      </w:r>
    </w:p>
    <w:p>
      <w:pPr>
        <w:numPr>
          <w:ilvl w:val="0"/>
          <w:numId w:val="1004"/>
        </w:numPr>
        <w:pStyle w:val="Compact"/>
      </w:pPr>
      <w:r>
        <w:rPr>
          <w:bCs/>
          <w:b/>
        </w:rPr>
        <w:t xml:space="preserve">Digital Divide:</w:t>
      </w:r>
      <w:r>
        <w:t xml:space="preserve"> </w:t>
      </w:r>
      <w:r>
        <w:t xml:space="preserve">18% of NYC secondary classrooms still lack reliable high-speed internet</w:t>
      </w:r>
    </w:p>
    <w:bookmarkEnd w:id="30"/>
    <w:bookmarkStart w:id="31" w:name="nyc-specific-growth-opportunities"/>
    <w:p>
      <w:pPr>
        <w:pStyle w:val="Heading3"/>
      </w:pPr>
      <w:r>
        <w:t xml:space="preserve">NYC-Specific Growth Opportunities</w:t>
      </w:r>
    </w:p>
    <w:p>
      <w:pPr>
        <w:pStyle w:val="FirstParagraph"/>
      </w:pPr>
      <w:r>
        <w:t xml:space="preserve">Our sales strategy has pivoted to address these challenges through targeted initiatives:</w:t>
      </w:r>
    </w:p>
    <w:p>
      <w:pPr>
        <w:numPr>
          <w:ilvl w:val="0"/>
          <w:numId w:val="1005"/>
        </w:numPr>
        <w:pStyle w:val="Compact"/>
      </w:pPr>
      <w:r>
        <w:rPr>
          <w:bCs/>
          <w:b/>
        </w:rPr>
        <w:t xml:space="preserve">Concentrated School Partnerships:</w:t>
      </w:r>
      <w:r>
        <w:t xml:space="preserve"> </w:t>
      </w:r>
      <w:r>
        <w:t xml:space="preserve">Secured 12 district-wide contracts with NYCDOE for 2024, including the largest high school network (50+ schools)</w:t>
      </w:r>
    </w:p>
    <w:p>
      <w:pPr>
        <w:numPr>
          <w:ilvl w:val="0"/>
          <w:numId w:val="1005"/>
        </w:numPr>
        <w:pStyle w:val="Compact"/>
      </w:pPr>
      <w:r>
        <w:rPr>
          <w:bCs/>
          <w:b/>
        </w:rPr>
        <w:t xml:space="preserve">Teacher Resilience Programs:</w:t>
      </w:r>
      <w:r>
        <w:t xml:space="preserve"> </w:t>
      </w:r>
      <w:r>
        <w:t xml:space="preserve">Launched "Secondary Educator Support Circles" – reducing Teacher Secondary burnout by 31% in pilot districts</w:t>
      </w:r>
    </w:p>
    <w:p>
      <w:pPr>
        <w:numPr>
          <w:ilvl w:val="0"/>
          <w:numId w:val="1005"/>
        </w:numPr>
        <w:pStyle w:val="Compact"/>
      </w:pPr>
      <w:r>
        <w:rPr>
          <w:bCs/>
          <w:b/>
        </w:rPr>
        <w:t xml:space="preserve">Infrastructure Grants:</w:t>
      </w:r>
      <w:r>
        <w:t xml:space="preserve"> </w:t>
      </w:r>
      <w:r>
        <w:t xml:space="preserve">Partnered with NYC Public Schools' Digital Equity Initiative to provide free bandwidth solutions for schools using our products</w:t>
      </w:r>
    </w:p>
    <w:bookmarkEnd w:id="31"/>
    <w:bookmarkEnd w:id="32"/>
    <w:bookmarkStart w:id="33" w:name="strategic-recommendations-for-2024"/>
    <w:p>
      <w:pPr>
        <w:pStyle w:val="Heading2"/>
      </w:pPr>
      <w:r>
        <w:t xml:space="preserve">Strategic Recommendations for 2024</w:t>
      </w:r>
    </w:p>
    <w:p>
      <w:pPr>
        <w:pStyle w:val="FirstParagraph"/>
      </w:pPr>
      <w:r>
        <w:t xml:space="preserve">Based on Q4 performance in the United States' most complex urban education market, we recommend:</w:t>
      </w:r>
    </w:p>
    <w:p>
      <w:pPr>
        <w:numPr>
          <w:ilvl w:val="0"/>
          <w:numId w:val="1006"/>
        </w:numPr>
        <w:pStyle w:val="Compact"/>
      </w:pPr>
      <w:r>
        <w:rPr>
          <w:bCs/>
          <w:b/>
        </w:rPr>
        <w:t xml:space="preserve">Double Down on NYCDOE Partnerships:</w:t>
      </w:r>
      <w:r>
        <w:t xml:space="preserve"> </w:t>
      </w:r>
      <w:r>
        <w:t xml:space="preserve">Allocate 35% of 2024 sales resources specifically to NYC district contracts. Our Q4 data shows these yield 3.2x higher lifetime value than individual school contracts.</w:t>
      </w:r>
    </w:p>
    <w:p>
      <w:pPr>
        <w:numPr>
          <w:ilvl w:val="0"/>
          <w:numId w:val="1006"/>
        </w:numPr>
        <w:pStyle w:val="Compact"/>
      </w:pPr>
      <w:r>
        <w:rPr>
          <w:bCs/>
          <w:b/>
        </w:rPr>
        <w:t xml:space="preserve">Develop "NYC-Specific" Teacher Secondary Content:</w:t>
      </w:r>
      <w:r>
        <w:t xml:space="preserve"> </w:t>
      </w:r>
      <w:r>
        <w:t xml:space="preserve">Create regionally tailored modules addressing common NYC challenges (e.g., "Urban Classroom Management for Diverse Learners," "Regents Exam Strategy for NYC Cohorts").</w:t>
      </w:r>
    </w:p>
    <w:p>
      <w:pPr>
        <w:numPr>
          <w:ilvl w:val="0"/>
          <w:numId w:val="1006"/>
        </w:numPr>
        <w:pStyle w:val="Compact"/>
      </w:pPr>
      <w:r>
        <w:rPr>
          <w:bCs/>
          <w:b/>
        </w:rPr>
        <w:t xml:space="preserve">Expand Professional Development:</w:t>
      </w:r>
      <w:r>
        <w:t xml:space="preserve"> </w:t>
      </w:r>
      <w:r>
        <w:t xml:space="preserve">Increase secondary teacher training by 40% to address NYC's 100,000+ annual professional development requirement – directly increasing product adoption rates.</w:t>
      </w:r>
    </w:p>
    <w:p>
      <w:pPr>
        <w:numPr>
          <w:ilvl w:val="0"/>
          <w:numId w:val="1006"/>
        </w:numPr>
        <w:pStyle w:val="Compact"/>
      </w:pPr>
      <w:r>
        <w:rPr>
          <w:bCs/>
          <w:b/>
        </w:rPr>
        <w:t xml:space="preserve">Invest in Data Analytics:</w:t>
      </w:r>
      <w:r>
        <w:t xml:space="preserve"> </w:t>
      </w:r>
      <w:r>
        <w:t xml:space="preserve">Implement real-time usage tracking within NYC schools to demonstrate ROI through student performance metrics, which resonates strongly with Teacher Secondary decision-makers.</w:t>
      </w:r>
    </w:p>
    <w:bookmarkEnd w:id="33"/>
    <w:bookmarkStart w:id="34" w:name="Xbf8a448a48f863b6c1bc23432cd06042dface23"/>
    <w:p>
      <w:pPr>
        <w:pStyle w:val="Heading2"/>
      </w:pPr>
      <w:r>
        <w:t xml:space="preserve">Conclusion: The NYC Secondary Education Advantage</w:t>
      </w:r>
    </w:p>
    <w:p>
      <w:pPr>
        <w:pStyle w:val="FirstParagraph"/>
      </w:pPr>
      <w:r>
        <w:t xml:space="preserve">The United States' New York City market has proven to be the most dynamic and rewarding environment for secondary education sales. Our 27% YoY growth demonstrates that when educational solutions are precisely engineered for Teacher Secondary needs within NYC's unique context, exceptional results follow. As the nation's largest school system continues its ambitious reform journey, our position as a preferred partner for secondary educators positions us to capture $15M+ in new revenue by 2025.</w:t>
      </w:r>
    </w:p>
    <w:p>
      <w:pPr>
        <w:pStyle w:val="BodyText"/>
      </w:pPr>
      <w:r>
        <w:t xml:space="preserve">This Sales Report confirms that our strategic focus on New York City's secondary education ecosystem – where Teacher Secondary is the central figure in educational transformation – delivers measurable value. We remain committed to empowering every secondary educator across the United States' most diverse city through solutions designed for their specific challenges and opportunities.</w:t>
      </w:r>
    </w:p>
    <w:p>
      <w:pPr>
        <w:pStyle w:val="BodyText"/>
      </w:pPr>
      <w:r>
        <w:rPr>
          <w:bCs/>
          <w:b/>
        </w:rPr>
        <w:t xml:space="preserve">Prepared by:</w:t>
      </w:r>
      <w:r>
        <w:t xml:space="preserve"> </w:t>
      </w:r>
      <w:r>
        <w:t xml:space="preserve">Sales Strategy Division, United States Educational Services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Education Sales Report: New York City Market</dc:title>
  <dc:creator/>
  <dc:language>en</dc:language>
  <cp:keywords/>
  <dcterms:created xsi:type="dcterms:W3CDTF">2026-07-24T12:38:45Z</dcterms:created>
  <dcterms:modified xsi:type="dcterms:W3CDTF">2026-07-24T12:38:45Z</dcterms:modified>
</cp:coreProperties>
</file>

<file path=docProps/custom.xml><?xml version="1.0" encoding="utf-8"?>
<Properties xmlns="http://schemas.openxmlformats.org/officeDocument/2006/custom-properties" xmlns:vt="http://schemas.openxmlformats.org/officeDocument/2006/docPropsVTypes"/>
</file>