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33" w:name="Xc4cfe0aafe6455de43d40a26e3bbf2d7f16a6fd"/>
    <w:p>
      <w:pPr>
        <w:pStyle w:val="Heading1"/>
      </w:pPr>
      <w:r>
        <w:t xml:space="preserve">Comprehensive Sales Report: Teacher Secondary Product Line Performance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Education Solutions Group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Teacher Secondary product line across the United States San Francisco market during the third quarter of 2023. Despite economic headwinds, our strategic focus on personalized secondary education tools has driven a 17% year-over-year increase in sales within San Francisco's public and private school districts. The report highlights critical growth areas, identifies market-specific challenges unique to United States San Francisco's educational landscape, and outlines actionable strategies for sustained success in this pivotal market.</w:t>
      </w:r>
    </w:p>
    <w:bookmarkEnd w:id="20"/>
    <w:bookmarkStart w:id="21" w:name="Xf5403e0b0314bd9592b37ad47c767ad5e7fdfb0"/>
    <w:p>
      <w:pPr>
        <w:pStyle w:val="Heading2"/>
      </w:pPr>
      <w:r>
        <w:t xml:space="preserve">II. Market Context: United States San Francisco Educational Landscape</w:t>
      </w:r>
    </w:p>
    <w:p>
      <w:pPr>
        <w:pStyle w:val="FirstParagraph"/>
      </w:pPr>
      <w:r>
        <w:t xml:space="preserve">San Francisco represents one of the most dynamic secondary education markets in the United States, characterized by:</w:t>
      </w:r>
    </w:p>
    <w:p>
      <w:pPr>
        <w:numPr>
          <w:ilvl w:val="0"/>
          <w:numId w:val="1001"/>
        </w:numPr>
        <w:pStyle w:val="Compact"/>
      </w:pPr>
      <w:r>
        <w:rPr>
          <w:bCs/>
          <w:b/>
        </w:rPr>
        <w:t xml:space="preserve">Diverse Student Population:</w:t>
      </w:r>
      <w:r>
        <w:t xml:space="preserve"> </w:t>
      </w:r>
      <w:r>
        <w:t xml:space="preserve">45% English Language Learners (ELL) and 38% students qualifying for free/reduced lunch programs across San Francisco Unified School District (SFUSD)</w:t>
      </w:r>
    </w:p>
    <w:p>
      <w:pPr>
        <w:numPr>
          <w:ilvl w:val="0"/>
          <w:numId w:val="1001"/>
        </w:numPr>
        <w:pStyle w:val="Compact"/>
      </w:pPr>
      <w:r>
        <w:rPr>
          <w:bCs/>
          <w:b/>
        </w:rPr>
        <w:t xml:space="preserve">Technology Adoption Leaders:</w:t>
      </w:r>
      <w:r>
        <w:t xml:space="preserve"> </w:t>
      </w:r>
      <w:r>
        <w:t xml:space="preserve">SFUSD ranks #3 nationally in digital learning integration, with all secondary classrooms requiring standardized instructional technology</w:t>
      </w:r>
    </w:p>
    <w:p>
      <w:pPr>
        <w:numPr>
          <w:ilvl w:val="0"/>
          <w:numId w:val="1001"/>
        </w:numPr>
        <w:pStyle w:val="Compact"/>
      </w:pPr>
      <w:r>
        <w:rPr>
          <w:bCs/>
          <w:b/>
        </w:rPr>
        <w:t xml:space="preserve">Policy Sensitivity:</w:t>
      </w:r>
      <w:r>
        <w:t xml:space="preserve"> </w:t>
      </w:r>
      <w:r>
        <w:t xml:space="preserve">Alignment with California's Teacher Preparation Programs and Common Core State Standards creates unique procurement requirements</w:t>
      </w:r>
    </w:p>
    <w:p>
      <w:pPr>
        <w:numPr>
          <w:ilvl w:val="0"/>
          <w:numId w:val="1001"/>
        </w:numPr>
        <w:pStyle w:val="Compact"/>
      </w:pPr>
      <w:r>
        <w:rPr>
          <w:bCs/>
          <w:b/>
        </w:rPr>
        <w:t xml:space="preserve">Competition Intensity:</w:t>
      </w:r>
      <w:r>
        <w:t xml:space="preserve"> </w:t>
      </w:r>
      <w:r>
        <w:t xml:space="preserve">5 major edtech vendors actively competing for San Francisco district contracts, but our Teacher Secondary solutions maintain 62% market share in core curriculum tools</w:t>
      </w:r>
    </w:p>
    <w:bookmarkEnd w:id="21"/>
    <w:bookmarkStart w:id="22" w:name="X92ff7d3a632c7947e5472d79dc95cfb212d933d"/>
    <w:p>
      <w:pPr>
        <w:pStyle w:val="Heading2"/>
      </w:pPr>
      <w:r>
        <w:t xml:space="preserve">III. Q3 Sales Performance: Teacher Secondary Market Analysis</w:t>
      </w:r>
    </w:p>
    <w:p>
      <w:pPr>
        <w:pStyle w:val="FirstParagraph"/>
      </w:pPr>
      <w:r>
        <w:rPr>
          <w:bCs/>
          <w:b/>
        </w:rPr>
        <w:t xml:space="preserve">Overall Revenue:</w:t>
      </w:r>
      <w:r>
        <w:t xml:space="preserve"> </w:t>
      </w:r>
      <w:r>
        <w:t xml:space="preserve">$1.84M (17% above Q3 2022; $1.58M)</w:t>
      </w:r>
    </w:p>
    <w:p>
      <w:pPr>
        <w:pStyle w:val="BodyText"/>
      </w:pPr>
      <w:r>
        <w:t xml:space="preserve">Product Category</w:t>
      </w:r>
    </w:p>
    <w:p>
      <w:pPr>
        <w:pStyle w:val="BodyText"/>
      </w:pPr>
      <w:r>
        <w:t xml:space="preserve">Q3 Revenue</w:t>
      </w:r>
    </w:p>
    <w:p>
      <w:pPr>
        <w:pStyle w:val="BodyText"/>
      </w:pPr>
      <w:r>
        <w:t xml:space="preserve">YoY Growth</w:t>
      </w:r>
    </w:p>
    <w:p>
      <w:pPr>
        <w:pStyle w:val="BodyText"/>
      </w:pPr>
      <w:r>
        <w:t xml:space="preserve">Market Share (SF)</w:t>
      </w:r>
    </w:p>
    <w:p>
      <w:pPr>
        <w:pStyle w:val="BodyText"/>
      </w:pPr>
      <w:r>
        <w:t xml:space="preserve">Interactive Lesson Builder Suite</w:t>
      </w:r>
    </w:p>
    <w:p>
      <w:pPr>
        <w:pStyle w:val="BodyText"/>
      </w:pPr>
      <w:r>
        <w:t xml:space="preserve">$728K</w:t>
      </w:r>
    </w:p>
    <w:p>
      <w:pPr>
        <w:pStyle w:val="BodyText"/>
      </w:pPr>
      <w:r>
        <w:t xml:space="preserve">+23%</w:t>
      </w:r>
    </w:p>
    <w:p>
      <w:pPr>
        <w:pStyle w:val="BodyText"/>
      </w:pPr>
      <w:r>
        <w:t xml:space="preserve">68%</w:t>
      </w:r>
    </w:p>
    <w:p>
      <w:pPr>
        <w:pStyle w:val="BodyText"/>
      </w:pPr>
      <w:r>
        <w:t xml:space="preserve">Digital Assessment Platform</w:t>
      </w:r>
    </w:p>
    <w:p>
      <w:pPr>
        <w:pStyle w:val="BodyText"/>
      </w:pPr>
      <w:r>
        <w:t xml:space="preserve">$540K</w:t>
      </w:r>
    </w:p>
    <w:p>
      <w:pPr>
        <w:pStyle w:val="BodyText"/>
      </w:pPr>
      <w:r>
        <w:t xml:space="preserve">Total Teacher Secondary Products</w:t>
      </w:r>
    </w:p>
    <w:p>
      <w:pPr>
        <w:pStyle w:val="BodyText"/>
      </w:pPr>
      <w:r>
        <w:t xml:space="preserve">$1.84M</w:t>
      </w:r>
    </w:p>
    <w:p>
      <w:pPr>
        <w:pStyle w:val="BodyText"/>
      </w:pPr>
      <w:r>
        <w:t xml:space="preserve">+17%</w:t>
      </w:r>
    </w:p>
    <w:p>
      <w:pPr>
        <w:pStyle w:val="BodyText"/>
      </w:pPr>
      <w:r>
        <w:t xml:space="preserve">62%</w:t>
      </w:r>
    </w:p>
    <w:p>
      <w:pPr>
        <w:pStyle w:val="BodyText"/>
      </w:pPr>
      <w:r>
        <w:t xml:space="preserve">Key growth drivers specific to United States San Francisco include:</w:t>
      </w:r>
    </w:p>
    <w:p>
      <w:pPr>
        <w:numPr>
          <w:ilvl w:val="0"/>
          <w:numId w:val="1002"/>
        </w:numPr>
        <w:pStyle w:val="Compact"/>
      </w:pPr>
      <w:r>
        <w:t xml:space="preserve">Successful pilot of our ELL-optimized curriculum modules in 14 SFUSD high schools (38% adoption rate among secondary teachers)</w:t>
      </w:r>
    </w:p>
    <w:p>
      <w:pPr>
        <w:numPr>
          <w:ilvl w:val="0"/>
          <w:numId w:val="1002"/>
        </w:numPr>
        <w:pStyle w:val="Compact"/>
      </w:pPr>
      <w:r>
        <w:t xml:space="preserve">Promotion of our new "San Francisco Curriculum Integration Toolkit" meeting district requirements for culturally responsive teaching</w:t>
      </w:r>
    </w:p>
    <w:p>
      <w:pPr>
        <w:numPr>
          <w:ilvl w:val="0"/>
          <w:numId w:val="1002"/>
        </w:numPr>
        <w:pStyle w:val="Compact"/>
      </w:pPr>
      <w:r>
        <w:t xml:space="preserve">Strategic partnerships with local teacher unions (SF Teachers Association) resulting in 22% increase in trial conversions</w:t>
      </w:r>
    </w:p>
    <w:bookmarkEnd w:id="22"/>
    <w:bookmarkStart w:id="26" w:name="Xc33c2eb2053395b05ea837a6134752db77f0eff"/>
    <w:p>
      <w:pPr>
        <w:pStyle w:val="Heading2"/>
      </w:pPr>
      <w:r>
        <w:t xml:space="preserve">IV. Critical Challenges Identified: United States San Francisco Specifics</w:t>
      </w:r>
    </w:p>
    <w:p>
      <w:pPr>
        <w:pStyle w:val="FirstParagraph"/>
      </w:pPr>
      <w:r>
        <w:t xml:space="preserve">Despite growth, three market-specific obstacles emerged during Q3:</w:t>
      </w:r>
    </w:p>
    <w:bookmarkStart w:id="23" w:name="a.-budget-reallocation-pressures"/>
    <w:p>
      <w:pPr>
        <w:pStyle w:val="Heading3"/>
      </w:pPr>
      <w:r>
        <w:t xml:space="preserve">A. Budget Reallocation Pressures</w:t>
      </w:r>
    </w:p>
    <w:p>
      <w:pPr>
        <w:pStyle w:val="FirstParagraph"/>
      </w:pPr>
      <w:r>
        <w:t xml:space="preserve">SFUSD's 2023-24 budget allocated 15% less to instructional technology than projected. Our Teacher Secondary sales team encountered delays in purchasing cycles as school sites prioritized emergency safety infrastructure over curriculum tools. This required 40% more negotiation hours per deal compared to previous quarters.</w:t>
      </w:r>
    </w:p>
    <w:bookmarkEnd w:id="23"/>
    <w:bookmarkStart w:id="24" w:name="b.-cultural-alignment-requirements"/>
    <w:p>
      <w:pPr>
        <w:pStyle w:val="Heading3"/>
      </w:pPr>
      <w:r>
        <w:t xml:space="preserve">B. Cultural Alignment Requirements</w:t>
      </w:r>
    </w:p>
    <w:p>
      <w:pPr>
        <w:pStyle w:val="FirstParagraph"/>
      </w:pPr>
      <w:r>
        <w:t xml:space="preserve">San Francisco's emphasis on equity and anti-racist pedagogy necessitated rapid customization of our Teacher Secondary platform. We developed new bias-mitigation features for content recommendations after district feedback, accelerating product development cycles by 28 days.</w:t>
      </w:r>
    </w:p>
    <w:bookmarkEnd w:id="24"/>
    <w:bookmarkStart w:id="25" w:name="c.-competitive-differentiation"/>
    <w:p>
      <w:pPr>
        <w:pStyle w:val="Heading3"/>
      </w:pPr>
      <w:r>
        <w:t xml:space="preserve">C. Competitive Differentiation</w:t>
      </w:r>
    </w:p>
    <w:p>
      <w:pPr>
        <w:pStyle w:val="FirstParagraph"/>
      </w:pPr>
      <w:r>
        <w:t xml:space="preserve">Local competitors aggressively undercut pricing on core assessment tools. Our Teacher Secondary solution maintained premium positioning through value-based sales (demonstrating 2.7x ROI in student engagement metrics), but required additional training for our San Francisco sales representatives to counter pricing objections.</w:t>
      </w:r>
    </w:p>
    <w:bookmarkEnd w:id="25"/>
    <w:bookmarkEnd w:id="26"/>
    <w:bookmarkStart w:id="30" w:name="X2d9c918d603470cf7abeaa690a6d3e773c6895c"/>
    <w:p>
      <w:pPr>
        <w:pStyle w:val="Heading2"/>
      </w:pPr>
      <w:r>
        <w:t xml:space="preserve">V. Strategic Initiatives &amp; Solutions Implemented</w:t>
      </w:r>
    </w:p>
    <w:p>
      <w:pPr>
        <w:pStyle w:val="FirstParagraph"/>
      </w:pPr>
      <w:r>
        <w:t xml:space="preserve">To overcome challenges specific to the United States San Francisco market, we launched three targeted initiatives:</w:t>
      </w:r>
    </w:p>
    <w:bookmarkStart w:id="27" w:name="sf-equity-first-sales-training-program"/>
    <w:p>
      <w:pPr>
        <w:pStyle w:val="Heading3"/>
      </w:pPr>
      <w:r>
        <w:t xml:space="preserve">1. SF Equity-First Sales Training Program</w:t>
      </w:r>
    </w:p>
    <w:p>
      <w:pPr>
        <w:pStyle w:val="FirstParagraph"/>
      </w:pPr>
      <w:r>
        <w:t xml:space="preserve">Trained all 14 regional sales reps on San Francisco's unique educational priorities. Included role-playing scenarios for addressing district concerns about cultural relevance and equity impacts of Teacher Secondary tools. Result: 27% faster deal closure with SFUSD departments.</w:t>
      </w:r>
    </w:p>
    <w:bookmarkEnd w:id="27"/>
    <w:bookmarkStart w:id="28" w:name="district-partnership-acceleration"/>
    <w:p>
      <w:pPr>
        <w:pStyle w:val="Heading3"/>
      </w:pPr>
      <w:r>
        <w:t xml:space="preserve">2. District Partnership Acceleration</w:t>
      </w:r>
    </w:p>
    <w:p>
      <w:pPr>
        <w:pStyle w:val="FirstParagraph"/>
      </w:pPr>
      <w:r>
        <w:t xml:space="preserve">Partnered with the San Francisco Department of Education to co-develop a "Digital Curriculum Roadmap" for secondary schools. This positioned our Teacher Secondary solutions as essential components of the city's 5-year education modernization plan. Secured commitments from 8 additional high schools for Q4 implementation.</w:t>
      </w:r>
    </w:p>
    <w:bookmarkEnd w:id="28"/>
    <w:bookmarkStart w:id="29" w:name="customized-tiered-pricing-model"/>
    <w:p>
      <w:pPr>
        <w:pStyle w:val="Heading3"/>
      </w:pPr>
      <w:r>
        <w:t xml:space="preserve">3. Customized Tiered Pricing Model</w:t>
      </w:r>
    </w:p>
    <w:p>
      <w:pPr>
        <w:pStyle w:val="FirstParagraph"/>
      </w:pPr>
      <w:r>
        <w:t xml:space="preserve">Introduced a new "San Francisco Equity Pricing Structure" with:</w:t>
      </w:r>
    </w:p>
    <w:p>
      <w:pPr>
        <w:numPr>
          <w:ilvl w:val="0"/>
          <w:numId w:val="1003"/>
        </w:numPr>
        <w:pStyle w:val="Compact"/>
      </w:pPr>
      <w:r>
        <w:t xml:space="preserve">15% discount for Title I schools</w:t>
      </w:r>
    </w:p>
    <w:p>
      <w:pPr>
        <w:numPr>
          <w:ilvl w:val="0"/>
          <w:numId w:val="1003"/>
        </w:numPr>
        <w:pStyle w:val="Compact"/>
      </w:pPr>
      <w:r>
        <w:t xml:space="preserve">Bundled pricing for multi-site contracts (e.g., 5+ schools)</w:t>
      </w:r>
    </w:p>
    <w:p>
      <w:pPr>
        <w:numPr>
          <w:ilvl w:val="0"/>
          <w:numId w:val="1003"/>
        </w:numPr>
        <w:pStyle w:val="Compact"/>
      </w:pPr>
      <w:r>
        <w:t xml:space="preserve">Credit toward future professional development based on usage metrics</w:t>
      </w:r>
    </w:p>
    <w:bookmarkEnd w:id="29"/>
    <w:bookmarkEnd w:id="30"/>
    <w:bookmarkStart w:id="31" w:name="X1fccbf57355f6733c4f0d40ca3f792a24211acb"/>
    <w:p>
      <w:pPr>
        <w:pStyle w:val="Heading2"/>
      </w:pPr>
      <w:r>
        <w:t xml:space="preserve">VI. Future Outlook: Teacher Secondary Growth Trajectory in United States San Francisco</w:t>
      </w:r>
    </w:p>
    <w:p>
      <w:pPr>
        <w:pStyle w:val="FirstParagraph"/>
      </w:pPr>
      <w:r>
        <w:t xml:space="preserve">The United States San Francisco market represents a $4.7M annual opportunity for our Teacher Secondary product line, with projected growth to $5.3M by Q1 2024. Key opportunities include:</w:t>
      </w:r>
    </w:p>
    <w:p>
      <w:pPr>
        <w:numPr>
          <w:ilvl w:val="0"/>
          <w:numId w:val="1004"/>
        </w:numPr>
        <w:pStyle w:val="Compact"/>
      </w:pPr>
      <w:r>
        <w:rPr>
          <w:bCs/>
          <w:b/>
        </w:rPr>
        <w:t xml:space="preserve">Expanding in New Districts:</w:t>
      </w:r>
      <w:r>
        <w:t xml:space="preserve"> </w:t>
      </w:r>
      <w:r>
        <w:t xml:space="preserve">Targeting West Contra Costa Unified School District (WCCUSD) and Oakland Unified School District (OUSD) through SF-based success stories</w:t>
      </w:r>
    </w:p>
    <w:p>
      <w:pPr>
        <w:numPr>
          <w:ilvl w:val="0"/>
          <w:numId w:val="1004"/>
        </w:numPr>
        <w:pStyle w:val="Compact"/>
      </w:pPr>
      <w:r>
        <w:rPr>
          <w:bCs/>
          <w:b/>
        </w:rPr>
        <w:t xml:space="preserve">Leveraging Policy Shifts:</w:t>
      </w:r>
      <w:r>
        <w:t xml:space="preserve"> </w:t>
      </w:r>
      <w:r>
        <w:t xml:space="preserve">Capitalizing on California's new Teacher Development Act requiring 15 hours of digital literacy training annually for educators</w:t>
      </w:r>
    </w:p>
    <w:p>
      <w:pPr>
        <w:numPr>
          <w:ilvl w:val="0"/>
          <w:numId w:val="1004"/>
        </w:numPr>
        <w:pStyle w:val="Compact"/>
      </w:pPr>
      <w:r>
        <w:rPr>
          <w:bCs/>
          <w:b/>
        </w:rPr>
        <w:t xml:space="preserve">Product Innovation:</w:t>
      </w:r>
      <w:r>
        <w:t xml:space="preserve"> </w:t>
      </w:r>
      <w:r>
        <w:t xml:space="preserve">Developing AI-driven content adaptation features specifically for San Francisco's diverse student populations</w:t>
      </w:r>
    </w:p>
    <w:bookmarkEnd w:id="31"/>
    <w:bookmarkStart w:id="32" w:name="X897456b1b34f43931b047bdb49e08175698e2e0"/>
    <w:p>
      <w:pPr>
        <w:pStyle w:val="Heading2"/>
      </w:pPr>
      <w:r>
        <w:t xml:space="preserve">VII. Conclusion: Strategic Imperative for Teacher Secondary in United States San Francisco</w:t>
      </w:r>
    </w:p>
    <w:p>
      <w:pPr>
        <w:pStyle w:val="FirstParagraph"/>
      </w:pPr>
      <w:r>
        <w:t xml:space="preserve">This Sales Report confirms that our Teacher Secondary product line has achieved sustainable market leadership in the complex United States San Francisco educational ecosystem. The 17% YoY growth despite budget constraints validates our localized approach to sales and product development. Moving forward, we must continue prioritizing cultural responsiveness and policy alignment as non-negotiable elements of our Teacher Secondary offering for San Francisco.</w:t>
      </w:r>
    </w:p>
    <w:p>
      <w:pPr>
        <w:pStyle w:val="BodyText"/>
      </w:pPr>
      <w:r>
        <w:t xml:space="preserve">As the most innovative secondary education market in the United States, San Francisco demands exceptional commitment from educational technology partners. Our Q3 success demonstrates that by embedding ourselves within San Francisco's unique educational priorities—through both product customization and strategic relationship-building—we can achieve superior market position while delivering genuine value to teachers and students. This Sales Report serves as a blueprint for our continued expansion in the United States San Francisco market, where Teacher Secondary solutions are not just products, but essential tools for educational excellence.</w:t>
      </w:r>
    </w:p>
    <w:p>
      <w:pPr>
        <w:pStyle w:val="BodyText"/>
      </w:pPr>
      <w:r>
        <w:rPr>
          <w:bCs/>
          <w:b/>
        </w:rPr>
        <w:t xml:space="preserve">Prepared By:</w:t>
      </w:r>
      <w:r>
        <w:t xml:space="preserve"> </w:t>
      </w:r>
      <w:r>
        <w:t xml:space="preserve">Regional Sales Director, West Coast Education Solutions</w:t>
      </w:r>
      <w:r>
        <w:br/>
      </w:r>
      <w:r>
        <w:rPr>
          <w:bCs/>
          <w:b/>
        </w:rPr>
        <w:t xml:space="preserve">Contact:</w:t>
      </w:r>
      <w:r>
        <w:t xml:space="preserve"> </w:t>
      </w:r>
      <w:r>
        <w:t xml:space="preserve">marcus.williams@educationsolutions.com | (415) 555-0198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United States San Francisco Market</dc:title>
  <dc:creator/>
  <dc:language>en</dc:language>
  <cp:keywords/>
  <dcterms:created xsi:type="dcterms:W3CDTF">2025-12-10T15:46:36Z</dcterms:created>
  <dcterms:modified xsi:type="dcterms:W3CDTF">2025-12-10T15:46:36Z</dcterms:modified>
</cp:coreProperties>
</file>

<file path=docProps/custom.xml><?xml version="1.0" encoding="utf-8"?>
<Properties xmlns="http://schemas.openxmlformats.org/officeDocument/2006/custom-properties" xmlns:vt="http://schemas.openxmlformats.org/officeDocument/2006/docPropsVTypes"/>
</file>