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Teacher</w:t>
      </w:r>
      <w:r>
        <w:t xml:space="preserve"> </w:t>
      </w:r>
      <w:r>
        <w:t xml:space="preserve">Training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6" w:name="X540916ef091deef1c05ea8cafcbadaa294a79e5"/>
    <w:p>
      <w:pPr>
        <w:pStyle w:val="Heading1"/>
      </w:pPr>
      <w:r>
        <w:t xml:space="preserve">Sales Report: Secondary Teacher Training Solutions for Uzbekistan Tashkent - Q3 2023</w:t>
      </w:r>
    </w:p>
    <w:p>
      <w:pPr>
        <w:pStyle w:val="FirstParagraph"/>
      </w:pPr>
      <w:r>
        <w:rPr>
          <w:bCs/>
          <w:b/>
        </w:rPr>
        <w:t xml:space="preserve">Prepared For:</w:t>
      </w:r>
      <w:r>
        <w:t xml:space="preserve"> </w:t>
      </w:r>
      <w:r>
        <w:t xml:space="preserve">International Education Solutions Division</w:t>
      </w:r>
      <w:r>
        <w:br/>
      </w:r>
      <w:r>
        <w:rPr>
          <w:bCs/>
          <w:b/>
        </w:rPr>
        <w:t xml:space="preserve">Date:</w:t>
      </w:r>
      <w:r>
        <w:t xml:space="preserve"> </w:t>
      </w:r>
      <w:r>
        <w:t xml:space="preserve">October 26, 2023</w:t>
      </w:r>
      <w:r>
        <w:br/>
      </w:r>
      <w:r>
        <w:rPr>
          <w:bCs/>
          <w:b/>
        </w:rPr>
        <w:t xml:space="preserve">Location:</w:t>
      </w:r>
      <w:r>
        <w:t xml:space="preserve"> </w:t>
      </w:r>
      <w:r>
        <w:t xml:space="preserve">Tashkent, Uzbekistan</w:t>
      </w:r>
    </w:p>
    <w:bookmarkStart w:id="20" w:name="Xbca2dbfdf054b66064743f8294ed39e63aa43b1"/>
    <w:p>
      <w:pPr>
        <w:pStyle w:val="Heading2"/>
      </w:pPr>
      <w:r>
        <w:t xml:space="preserve">Preamble: Contextualizing the Secondary Teacher Market in Tashkent</w:t>
      </w:r>
    </w:p>
    <w:p>
      <w:pPr>
        <w:pStyle w:val="FirstParagraph"/>
      </w:pPr>
      <w:r>
        <w:t xml:space="preserve">This Sales Report details performance and strategic insights for our secondary teacher training solutions within Uzbekistan's pivotal education hub—Tashkent. As the capital city and primary center of educational innovation, Tashkent represents 35% of Uzbekistan's secondary school infrastructure. The Ministry of Education's "New Uzbekistan" strategy prioritizes digital transformation for</w:t>
      </w:r>
      <w:r>
        <w:t xml:space="preserve"> </w:t>
      </w:r>
      <w:r>
        <w:rPr>
          <w:iCs/>
          <w:i/>
        </w:rPr>
        <w:t xml:space="preserve">Teacher Secondary</w:t>
      </w:r>
      <w:r>
        <w:t xml:space="preserve"> </w:t>
      </w:r>
      <w:r>
        <w:t xml:space="preserve">development, creating unprecedented demand for certified training programs aligned with national curricula. This report synthesizes Q3 sales data, market dynamics, and actionable recommendations specifically tailored to Tashkent's educational landscape.</w:t>
      </w:r>
    </w:p>
    <w:bookmarkEnd w:id="20"/>
    <w:bookmarkStart w:id="21" w:name="Xa3bfcf4b7be1e9441b79a54fbfbf1d3f7c3aaae"/>
    <w:p>
      <w:pPr>
        <w:pStyle w:val="Heading2"/>
      </w:pPr>
      <w:r>
        <w:t xml:space="preserve">Q3 2023 Sales Performance: Quantitative Highlights</w:t>
      </w:r>
    </w:p>
    <w:p>
      <w:pPr>
        <w:pStyle w:val="FirstParagraph"/>
      </w:pPr>
      <w:r>
        <w:t xml:space="preserve">Our secondary teacher training portfolio achieved remarkable traction in Tashkent during Q3. Total sales reached $148,500 USD, representing a 37% year-over-year growth—surpassing regional targets by 22%. Key metrics include:</w:t>
      </w:r>
    </w:p>
    <w:p>
      <w:pPr>
        <w:numPr>
          <w:ilvl w:val="0"/>
          <w:numId w:val="1001"/>
        </w:numPr>
        <w:pStyle w:val="Compact"/>
      </w:pPr>
      <w:r>
        <w:rPr>
          <w:bCs/>
          <w:b/>
        </w:rPr>
        <w:t xml:space="preserve">New Contracts Signed:</w:t>
      </w:r>
      <w:r>
        <w:t xml:space="preserve"> </w:t>
      </w:r>
      <w:r>
        <w:t xml:space="preserve">142 (vs. 98 in Q3 2022), with Tashkent City School District accounting for 68% of all agreements.</w:t>
      </w:r>
    </w:p>
    <w:p>
      <w:pPr>
        <w:numPr>
          <w:ilvl w:val="0"/>
          <w:numId w:val="1001"/>
        </w:numPr>
        <w:pStyle w:val="Compact"/>
      </w:pPr>
      <w:r>
        <w:rPr>
          <w:bCs/>
          <w:b/>
        </w:rPr>
        <w:t xml:space="preserve">Product Focus:</w:t>
      </w:r>
      <w:r>
        <w:t xml:space="preserve"> </w:t>
      </w:r>
      <w:r>
        <w:t xml:space="preserve">Digital Pedagogy Certification (51%) and STEM Teacher Residency Programs (37%) dominated sales, directly addressing Uzbekistan's National Education Development Program priorities.</w:t>
      </w:r>
    </w:p>
    <w:p>
      <w:pPr>
        <w:numPr>
          <w:ilvl w:val="0"/>
          <w:numId w:val="1001"/>
        </w:numPr>
        <w:pStyle w:val="Compact"/>
      </w:pPr>
      <w:r>
        <w:rPr>
          <w:bCs/>
          <w:b/>
        </w:rPr>
        <w:t xml:space="preserve">School Type Breakdown:</w:t>
      </w:r>
      <w:r>
        <w:t xml:space="preserve"> </w:t>
      </w:r>
      <w:r>
        <w:t xml:space="preserve">42% state secondary schools, 35% private academies, 23% vocational-technical institutions—reflecting Tashkent's diverse educational ecosystem.</w:t>
      </w:r>
    </w:p>
    <w:p>
      <w:pPr>
        <w:pStyle w:val="FirstParagraph"/>
      </w:pPr>
      <w:r>
        <w:t xml:space="preserve">This growth stems from targeted alignment with Uzbekistan's recent education reforms. The Ministry of Education’s Q2 2023 directive mandated all secondary teachers to complete digital literacy training by 2025, positioning our programs as essential compliance tools for Tashkent schools.</w:t>
      </w:r>
    </w:p>
    <w:bookmarkEnd w:id="21"/>
    <w:bookmarkStart w:id="22" w:name="Xe881ba45271f52a65ccba77c67e9becfc0fd12a"/>
    <w:p>
      <w:pPr>
        <w:pStyle w:val="Heading2"/>
      </w:pPr>
      <w:r>
        <w:t xml:space="preserve">Market Analysis: Tashkent-Specific Dynamics</w:t>
      </w:r>
    </w:p>
    <w:p>
      <w:pPr>
        <w:pStyle w:val="FirstParagraph"/>
      </w:pPr>
      <w:r>
        <w:t xml:space="preserve">Tashkent's secondary education market presents unique opportunities and challenges. Unlike rural Uzbekistan, the capital city exhibits high demand for specialized</w:t>
      </w:r>
      <w:r>
        <w:t xml:space="preserve"> </w:t>
      </w:r>
      <w:r>
        <w:rPr>
          <w:iCs/>
          <w:i/>
        </w:rPr>
        <w:t xml:space="preserve">Teacher Secondary</w:t>
      </w:r>
      <w:r>
        <w:t xml:space="preserve"> </w:t>
      </w:r>
      <w:r>
        <w:t xml:space="preserve">upskilling due to:</w:t>
      </w:r>
    </w:p>
    <w:p>
      <w:pPr>
        <w:numPr>
          <w:ilvl w:val="0"/>
          <w:numId w:val="1002"/>
        </w:numPr>
        <w:pStyle w:val="Compact"/>
      </w:pPr>
      <w:r>
        <w:rPr>
          <w:bCs/>
          <w:b/>
        </w:rPr>
        <w:t xml:space="preserve">Government Mandates:</w:t>
      </w:r>
      <w:r>
        <w:t xml:space="preserve"> </w:t>
      </w:r>
      <w:r>
        <w:t xml:space="preserve">Tashkent’s Department of Education issued accelerated implementation timelines for national digital standards, creating immediate urgency.</w:t>
      </w:r>
    </w:p>
    <w:p>
      <w:pPr>
        <w:numPr>
          <w:ilvl w:val="0"/>
          <w:numId w:val="1002"/>
        </w:numPr>
        <w:pStyle w:val="Compact"/>
      </w:pPr>
      <w:r>
        <w:rPr>
          <w:bCs/>
          <w:b/>
        </w:rPr>
        <w:t xml:space="preserve">Demand for STEM Educators:</w:t>
      </w:r>
      <w:r>
        <w:t xml:space="preserve"> </w:t>
      </w:r>
      <w:r>
        <w:t xml:space="preserve">63% of Tashkent secondary schools reported critical shortages in physics/math teachers. Our STEM Residency Program captured 29% of new contracts during Q3.</w:t>
      </w:r>
    </w:p>
    <w:p>
      <w:pPr>
        <w:numPr>
          <w:ilvl w:val="0"/>
          <w:numId w:val="1002"/>
        </w:numPr>
        <w:pStyle w:val="Compact"/>
      </w:pPr>
      <w:r>
        <w:rPr>
          <w:bCs/>
          <w:b/>
        </w:rPr>
        <w:t xml:space="preserve">Cultural Alignment:</w:t>
      </w:r>
      <w:r>
        <w:t xml:space="preserve"> </w:t>
      </w:r>
      <w:r>
        <w:t xml:space="preserve">Training modules incorporating Uzbek pedagogical traditions (e.g., "O‘qituvchi" mentorship models) increased adoption rates by 41% among Tashkent educators.</w:t>
      </w:r>
    </w:p>
    <w:p>
      <w:pPr>
        <w:pStyle w:val="FirstParagraph"/>
      </w:pPr>
      <w:r>
        <w:t xml:space="preserve">However, challenges persist. Language barriers in technical training materials initially slowed onboarding—resolved through our new Uzbek-language courseware development initiative launched in August 2023. Tashkent’s high urban density also accelerated sales cycles by 15% compared to regional averages due to centralized decision-making at the city education office.</w:t>
      </w:r>
    </w:p>
    <w:bookmarkEnd w:id="22"/>
    <w:bookmarkStart w:id="23" w:name="X54317985b73b2be50f8b4c7f8688dc08e30ea93"/>
    <w:p>
      <w:pPr>
        <w:pStyle w:val="Heading2"/>
      </w:pPr>
      <w:r>
        <w:t xml:space="preserve">Strategic Recommendations for Sustainable Growth</w:t>
      </w:r>
    </w:p>
    <w:p>
      <w:pPr>
        <w:pStyle w:val="FirstParagraph"/>
      </w:pPr>
      <w:r>
        <w:t xml:space="preserve">Based on Q3 performance, we recommend three priority actions for scaling our</w:t>
      </w:r>
      <w:r>
        <w:t xml:space="preserve"> </w:t>
      </w:r>
      <w:r>
        <w:rPr>
          <w:iCs/>
          <w:i/>
        </w:rPr>
        <w:t xml:space="preserve">Teacher Secondary</w:t>
      </w:r>
      <w:r>
        <w:t xml:space="preserve"> </w:t>
      </w:r>
      <w:r>
        <w:t xml:space="preserve">solutions in Uzbekistan Tashkent:</w:t>
      </w:r>
    </w:p>
    <w:p>
      <w:pPr>
        <w:numPr>
          <w:ilvl w:val="0"/>
          <w:numId w:val="1003"/>
        </w:numPr>
        <w:pStyle w:val="Compact"/>
      </w:pPr>
      <w:r>
        <w:rPr>
          <w:bCs/>
          <w:b/>
        </w:rPr>
        <w:t xml:space="preserve">Prioritize Ministry-Approved Certification Pathways:</w:t>
      </w:r>
      <w:r>
        <w:t xml:space="preserve"> </w:t>
      </w:r>
      <w:r>
        <w:t xml:space="preserve">Co-develop training with the Tashkent Education Center to ensure all programs earn official accreditation. This directly addresses the Ministry’s 2023 requirement for "state-recognized teacher development" and will be critical for future contracts.</w:t>
      </w:r>
    </w:p>
    <w:p>
      <w:pPr>
        <w:numPr>
          <w:ilvl w:val="0"/>
          <w:numId w:val="1003"/>
        </w:numPr>
        <w:pStyle w:val="Compact"/>
      </w:pPr>
      <w:r>
        <w:rPr>
          <w:bCs/>
          <w:b/>
        </w:rPr>
        <w:t xml:space="preserve">Expand Rural-Tashkent Teacher Exchange Programs:</w:t>
      </w:r>
      <w:r>
        <w:t xml:space="preserve"> </w:t>
      </w:r>
      <w:r>
        <w:t xml:space="preserve">Partner with Tashkent schools to host regional educators from Bukhara and Samarkand. This leverages Tashkent’s status as a training hub while creating referral pipelines across Uzbekistan—projected to generate $220K+ in new sales by Q1 2024.</w:t>
      </w:r>
    </w:p>
    <w:bookmarkEnd w:id="23"/>
    <w:bookmarkStart w:id="25" w:name="X7e8890a8c52a69414f4e0ff87b0744913efbc84"/>
    <w:p>
      <w:pPr>
        <w:pStyle w:val="Heading2"/>
      </w:pPr>
      <w:r>
        <w:t xml:space="preserve">Conclusion: The Future of Teacher Secondary Development in Tashkent</w:t>
      </w:r>
    </w:p>
    <w:p>
      <w:pPr>
        <w:pStyle w:val="FirstParagraph"/>
      </w:pPr>
      <w:r>
        <w:t xml:space="preserve">Tashkent has emerged as the epicenter for secondary teacher transformation in Uzbekistan, driven by centralized educational policy and urban-scale implementation capacity. Our Q3 results confirm that solutions directly addressing Uzbekistan’s national education agenda—particularly digital pedagogy and STEM teacher development—are not just selling well but are becoming essential infrastructure for Tashkent schools. The 37% YoY growth underscores a structural shift:</w:t>
      </w:r>
      <w:r>
        <w:t xml:space="preserve"> </w:t>
      </w:r>
      <w:r>
        <w:rPr>
          <w:iCs/>
          <w:i/>
        </w:rPr>
        <w:t xml:space="preserve">Teacher Secondary</w:t>
      </w:r>
      <w:r>
        <w:t xml:space="preserve"> </w:t>
      </w:r>
      <w:r>
        <w:t xml:space="preserve">training has moved from "optional professional development" to "non-negotiable compliance," a trend accelerating across Uzbekistan’s education system.</w:t>
      </w:r>
    </w:p>
    <w:p>
      <w:pPr>
        <w:pStyle w:val="BodyText"/>
      </w:pPr>
      <w:r>
        <w:t xml:space="preserve">As Uzbekistan advances its vision for modernized secondary education, Tashkent will remain the critical proving ground. Our sales success here validates our market approach while providing a scalable template for nationwide expansion. We recommend doubling down on Tashkent partnerships to capture 60%+ of the city’s $320K annual secondary teacher training market by Q4 2024, positioning us as Uzbekistan’s primary partner in realizing its educational transformation goals.</w:t>
      </w:r>
    </w:p>
    <w:bookmarkStart w:id="24" w:name="X631e5d0304e9f18dc33786fe099c762c149fbaf"/>
    <w:p>
      <w:pPr>
        <w:pStyle w:val="Heading3"/>
      </w:pPr>
      <w:r>
        <w:t xml:space="preserve">Appendix: Key Performance Indicators (Tashkent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Contracts (Tashkent)</w:t>
      </w:r>
    </w:p>
    <w:p>
      <w:pPr>
        <w:pStyle w:val="BodyText"/>
      </w:pPr>
      <w:r>
        <w:t xml:space="preserve">142</w:t>
      </w:r>
    </w:p>
    <w:p>
      <w:pPr>
        <w:pStyle w:val="BodyText"/>
      </w:pPr>
      <w:r>
        <w:t xml:space="preserve">98</w:t>
      </w:r>
    </w:p>
    <w:p>
      <w:pPr>
        <w:pStyle w:val="BodyText"/>
      </w:pPr>
      <w:r>
        <w:t xml:space="preserve">+45%</w:t>
      </w:r>
    </w:p>
    <w:p>
      <w:pPr>
        <w:pStyle w:val="BodyText"/>
      </w:pPr>
      <w:r>
        <w:t xml:space="preserve">Avg. Contract Value</w:t>
      </w:r>
    </w:p>
    <w:p>
      <w:pPr>
        <w:pStyle w:val="BodyText"/>
      </w:pPr>
      <w:r>
        <w:t xml:space="preserve">$1,046</w:t>
      </w:r>
    </w:p>
    <w:p>
      <w:pPr>
        <w:pStyle w:val="BodyText"/>
      </w:pPr>
      <w:r>
        <w:t xml:space="preserve">$920</w:t>
      </w:r>
    </w:p>
    <w:p>
      <w:pPr>
        <w:pStyle w:val="BodyText"/>
      </w:pPr>
      <w:r>
        <w:br/>
      </w:r>
      <w:r>
        <w:t xml:space="preserve">td&gt;+13.7%</w:t>
      </w:r>
    </w:p>
    <w:p>
      <w:pPr>
        <w:pStyle w:val="BodyText"/>
      </w:pPr>
      <w:r>
        <w:rPr>
          <w:bCs/>
          <w:b/>
        </w:rPr>
        <w:t xml:space="preserve">Prepared By:</w:t>
      </w:r>
      <w:r>
        <w:t xml:space="preserve"> </w:t>
      </w:r>
      <w:r>
        <w:t xml:space="preserve">International Education Solutions Sales Team</w:t>
      </w:r>
      <w:r>
        <w:br/>
      </w:r>
      <w:r>
        <w:rPr>
          <w:bCs/>
          <w:b/>
        </w:rPr>
        <w:t xml:space="preserve">Contact:</w:t>
      </w:r>
      <w:r>
        <w:t xml:space="preserve"> </w:t>
      </w:r>
      <w:r>
        <w:t xml:space="preserve">tashkent.sales@ieducation.com | +998 71 200 5544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Teacher Training Solutions for Uzbekistan Tashkent</dc:title>
  <dc:creator/>
  <dc:language>en</dc:language>
  <cp:keywords/>
  <dcterms:created xsi:type="dcterms:W3CDTF">2026-07-21T14:55:13Z</dcterms:created>
  <dcterms:modified xsi:type="dcterms:W3CDTF">2026-07-21T14:55:13Z</dcterms:modified>
</cp:coreProperties>
</file>

<file path=docProps/custom.xml><?xml version="1.0" encoding="utf-8"?>
<Properties xmlns="http://schemas.openxmlformats.org/officeDocument/2006/custom-properties" xmlns:vt="http://schemas.openxmlformats.org/officeDocument/2006/docPropsVTypes"/>
</file>