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Venezuela</w:t>
      </w:r>
      <w:r>
        <w:t xml:space="preserve"> </w:t>
      </w:r>
      <w:r>
        <w:t xml:space="preserve">Caracas</w:t>
      </w:r>
    </w:p>
    <w:bookmarkStart w:id="28" w:name="X803bf519ed519f659493bbeb62ceeadfae8eea3"/>
    <w:p>
      <w:pPr>
        <w:pStyle w:val="Heading1"/>
      </w:pPr>
      <w:r>
        <w:t xml:space="preserve">Comprehensive Sales Report for Teacher Secondary in Venezuela Caracas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Management, Teacher Secondary International |</w:t>
      </w:r>
      <w:r>
        <w:t xml:space="preserve"> </w:t>
      </w:r>
      <w:r>
        <w:rPr>
          <w:bCs/>
          <w:b/>
        </w:rPr>
        <w:t xml:space="preserve">Region Covered:</w:t>
      </w:r>
      <w:r>
        <w:t xml:space="preserve"> </w:t>
      </w:r>
      <w:r>
        <w:t xml:space="preserve">Venezuela Caracas Metropolitan Area</w:t>
      </w:r>
    </w:p>
    <w:bookmarkStart w:id="20" w:name="i.-executive-summary"/>
    <w:p>
      <w:pPr>
        <w:pStyle w:val="Heading2"/>
      </w:pPr>
      <w:r>
        <w:t xml:space="preserve">I. Executive Summary</w:t>
      </w:r>
    </w:p>
    <w:p>
      <w:pPr>
        <w:pStyle w:val="FirstParagraph"/>
      </w:pPr>
      <w:r>
        <w:t xml:space="preserve">This Sales Report details the performance of Teacher Secondary educational solutions across Venezuela Caracas for Q3 2023. Despite significant economic challenges in the Venezuelan market, Teacher Secondary achieved a 14% year-over-year growth in secondary school teacher subscriptions, securing over 1,850 active users across Caracas' public and private institutions. The report highlights our strategic adaptation to Venezuela Caracas' unique educational landscape while maintaining commitment to teacher empowerment. This document serves as the official quarterly Sales Report for Teacher Secondary's operations in Venezuela's capital city, demonstrating resilience and market penetration in one of Latin America's most demanding education environments.</w:t>
      </w:r>
    </w:p>
    <w:bookmarkEnd w:id="20"/>
    <w:bookmarkStart w:id="21" w:name="ii.-sales-performance-overview"/>
    <w:p>
      <w:pPr>
        <w:pStyle w:val="Heading2"/>
      </w:pPr>
      <w:r>
        <w:t xml:space="preserve">II. Sales Performance Overview</w:t>
      </w:r>
    </w:p>
    <w:p>
      <w:pPr>
        <w:pStyle w:val="FirstParagraph"/>
      </w:pPr>
      <w:r>
        <w:t xml:space="preserve">Teacher Secondary recorded total revenue of VES 78,500,000 (approximately USD $98,125) for the quarter ending September 30, 2023. This represents a 14.3% increase from Q3 2022 despite currency volatility affecting Venezuela's economy. Key drivers included:</w:t>
      </w:r>
    </w:p>
    <w:p>
      <w:pPr>
        <w:numPr>
          <w:ilvl w:val="0"/>
          <w:numId w:val="1001"/>
        </w:numPr>
        <w:pStyle w:val="Compact"/>
      </w:pPr>
      <w:r>
        <w:rPr>
          <w:bCs/>
          <w:b/>
        </w:rPr>
        <w:t xml:space="preserve">Core Subscription Growth:</w:t>
      </w:r>
      <w:r>
        <w:t xml:space="preserve"> </w:t>
      </w:r>
      <w:r>
        <w:t xml:space="preserve">+18% YoY in digital resource packages for secondary teachers (grades 7-12)</w:t>
      </w:r>
    </w:p>
    <w:p>
      <w:pPr>
        <w:numPr>
          <w:ilvl w:val="0"/>
          <w:numId w:val="1001"/>
        </w:numPr>
        <w:pStyle w:val="Compact"/>
      </w:pPr>
      <w:r>
        <w:rPr>
          <w:bCs/>
          <w:b/>
        </w:rPr>
        <w:t xml:space="preserve">New Institutional Contracts:</w:t>
      </w:r>
      <w:r>
        <w:t xml:space="preserve"> </w:t>
      </w:r>
      <w:r>
        <w:t xml:space="preserve">Secured 12 public schools and 5 private academies in Caracas</w:t>
      </w:r>
    </w:p>
    <w:p>
      <w:pPr>
        <w:numPr>
          <w:ilvl w:val="0"/>
          <w:numId w:val="1001"/>
        </w:numPr>
        <w:pStyle w:val="Compact"/>
      </w:pPr>
      <w:r>
        <w:rPr>
          <w:bCs/>
          <w:b/>
        </w:rPr>
        <w:t xml:space="preserve">Professional Development Programs:</w:t>
      </w:r>
      <w:r>
        <w:t xml:space="preserve"> </w:t>
      </w:r>
      <w:r>
        <w:t xml:space="preserve">Enrolled 347 teachers in certified pedagogy workshops</w:t>
      </w:r>
    </w:p>
    <w:p>
      <w:pPr>
        <w:pStyle w:val="FirstParagraph"/>
      </w:pPr>
      <w:r>
        <w:rPr>
          <w:bCs/>
          <w:b/>
        </w:rPr>
        <w:t xml:space="preserve">Notable Achievement:</w:t>
      </w:r>
      <w:r>
        <w:t xml:space="preserve"> </w:t>
      </w:r>
      <w:r>
        <w:t xml:space="preserve">Teacher Secondary became the only educational technology provider to maintain consistent growth in Venezuela Caracas during the third quarter, outperforming competitors by 23% in market share among secondary teacher solutions.</w:t>
      </w:r>
    </w:p>
    <w:bookmarkEnd w:id="21"/>
    <w:bookmarkStart w:id="24" w:name="iii.-venezuela-caracas-market-analysis"/>
    <w:p>
      <w:pPr>
        <w:pStyle w:val="Heading2"/>
      </w:pPr>
      <w:r>
        <w:t xml:space="preserve">III. Venezuela Caracas Market Analysis</w:t>
      </w:r>
    </w:p>
    <w:p>
      <w:pPr>
        <w:pStyle w:val="FirstParagraph"/>
      </w:pPr>
      <w:r>
        <w:t xml:space="preserve">The Caracas education sector presents both challenges and opportunities for Teacher Secondary. With over 1,400 secondary institutions across the metropolitan area, the demand for quality teaching resources remains high despite budget constraints. Our Q3 analysis reveals:</w:t>
      </w:r>
    </w:p>
    <w:bookmarkStart w:id="22" w:name="competitive-positioning-in-venezuela"/>
    <w:p>
      <w:pPr>
        <w:pStyle w:val="Heading3"/>
      </w:pPr>
      <w:r>
        <w:t xml:space="preserve">Competitive Positioning in Venezuela</w:t>
      </w:r>
    </w:p>
    <w:p>
      <w:pPr>
        <w:pStyle w:val="FirstParagraph"/>
      </w:pPr>
      <w:r>
        <w:t xml:space="preserve">While international educational tech companies struggle with Venezuela's economic instability, Teacher Secondary has established deep local partnerships with Caracas' Ministry of Education and municipal councils. Our localized content—featuring Venezuelan curriculum alignment (e.g., "Bachillerato General" standards) and Spanish-language materials—has been critical to success. In Venezuela Caracas, 76% of new sign-ups came through teacher referrals within school networks, proving community trust as our strongest asset.</w:t>
      </w:r>
    </w:p>
    <w:bookmarkEnd w:id="22"/>
    <w:bookmarkStart w:id="23" w:name="X41c8f011912395bdd12a8ae769731ef618cf3bc"/>
    <w:p>
      <w:pPr>
        <w:pStyle w:val="Heading3"/>
      </w:pPr>
      <w:r>
        <w:t xml:space="preserve">Customer Segmentation by Institution Type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Institution Type</w:t>
            </w:r>
          </w:p>
        </w:tc>
        <w:tc>
          <w:tcPr/>
          <w:p>
            <w:pPr>
              <w:pStyle w:val="Compact"/>
              <w:jc w:val="left"/>
            </w:pPr>
            <w:r>
              <w:t xml:space="preserve">Subscription Growth (Q3)</w:t>
            </w:r>
          </w:p>
        </w:tc>
        <w:tc>
          <w:tcPr/>
          <w:p>
            <w:pPr>
              <w:pStyle w:val="Compact"/>
              <w:jc w:val="left"/>
            </w:pPr>
            <w:r>
              <w:t xml:space="preserve">Revenue Contribution</w:t>
            </w:r>
          </w:p>
        </w:tc>
      </w:tr>
      <w:tr>
        <w:tc>
          <w:tcPr/>
          <w:p>
            <w:pPr>
              <w:pStyle w:val="Compact"/>
              <w:jc w:val="left"/>
            </w:pPr>
            <w:r>
              <w:t xml:space="preserve">Public Secondary Schools</w:t>
            </w:r>
          </w:p>
        </w:tc>
        <w:tc>
          <w:tcPr/>
          <w:p>
            <w:pPr>
              <w:pStyle w:val="Compact"/>
              <w:jc w:val="left"/>
            </w:pPr>
            <w:r>
              <w:t xml:space="preserve">+22%</w:t>
            </w:r>
          </w:p>
        </w:tc>
        <w:tc>
          <w:tcPr/>
          <w:p>
            <w:pPr>
              <w:pStyle w:val="Compact"/>
              <w:jc w:val="left"/>
            </w:pPr>
            <w:r>
              <w:t xml:space="preserve">58%</w:t>
            </w:r>
          </w:p>
        </w:tc>
      </w:tr>
      <w:tr>
        <w:tc>
          <w:tcPr/>
          <w:p>
            <w:pPr>
              <w:pStyle w:val="Compact"/>
              <w:jc w:val="left"/>
            </w:pPr>
            <w:r>
              <w:t xml:space="preserve">Private International Academies</w:t>
            </w:r>
          </w:p>
        </w:tc>
        <w:tc>
          <w:tcPr/>
          <w:p>
            <w:pPr>
              <w:pStyle w:val="Compact"/>
              <w:jc w:val="left"/>
            </w:pPr>
            <w:r>
              <w:t xml:space="preserve">+9%</w:t>
            </w:r>
          </w:p>
        </w:tc>
        <w:tc>
          <w:tcPr/>
          <w:p>
            <w:pPr>
              <w:pStyle w:val="Compact"/>
              <w:jc w:val="left"/>
            </w:pPr>
            <w:r>
              <w:t xml:space="preserve">31%</w:t>
            </w:r>
          </w:p>
        </w:tc>
      </w:tr>
      <w:tr>
        <w:tc>
          <w:tcPr/>
          <w:p>
            <w:pPr>
              <w:pStyle w:val="Compact"/>
              <w:jc w:val="left"/>
            </w:pPr>
            <w:r>
              <w:t xml:space="preserve">Municipal Education Centers</w:t>
            </w:r>
          </w:p>
        </w:tc>
        <w:tc>
          <w:tcPr/>
          <w:p>
            <w:pPr>
              <w:pStyle w:val="Compact"/>
              <w:jc w:val="left"/>
            </w:pPr>
            <w:r>
              <w:t xml:space="preserve">+37%</w:t>
            </w:r>
          </w:p>
        </w:tc>
        <w:tc>
          <w:tcPr/>
          <w:p>
            <w:pPr>
              <w:pStyle w:val="Compact"/>
              <w:jc w:val="left"/>
            </w:pPr>
            <w:r>
              <w:t xml:space="preserve">11%</w:t>
            </w:r>
          </w:p>
        </w:tc>
      </w:tr>
    </w:tbl>
    <w:bookmarkEnd w:id="23"/>
    <w:bookmarkEnd w:id="24"/>
    <w:bookmarkStart w:id="25" w:name="X2a94512b690f036ebb1aebecc9f7ef20b9a1fe3"/>
    <w:p>
      <w:pPr>
        <w:pStyle w:val="Heading2"/>
      </w:pPr>
      <w:r>
        <w:t xml:space="preserve">IV. Challenges in Venezuela Caracas Context</w:t>
      </w:r>
    </w:p>
    <w:p>
      <w:pPr>
        <w:pStyle w:val="FirstParagraph"/>
      </w:pPr>
      <w:r>
        <w:t xml:space="preserve">The Sales Report acknowledges significant hurdles unique to operating in Venezuela Caracas:</w:t>
      </w:r>
    </w:p>
    <w:p>
      <w:pPr>
        <w:numPr>
          <w:ilvl w:val="0"/>
          <w:numId w:val="1002"/>
        </w:numPr>
        <w:pStyle w:val="Compact"/>
      </w:pPr>
      <w:r>
        <w:rPr>
          <w:bCs/>
          <w:b/>
        </w:rPr>
        <w:t xml:space="preserve">Economic Volatility:</w:t>
      </w:r>
      <w:r>
        <w:t xml:space="preserve"> </w:t>
      </w:r>
      <w:r>
        <w:t xml:space="preserve">Currency devaluation impacted pricing strategy, requiring weekly VES/USD conversions for billing</w:t>
      </w:r>
    </w:p>
    <w:p>
      <w:pPr>
        <w:numPr>
          <w:ilvl w:val="0"/>
          <w:numId w:val="1002"/>
        </w:numPr>
        <w:pStyle w:val="Compact"/>
      </w:pPr>
      <w:r>
        <w:rPr>
          <w:bCs/>
          <w:b/>
        </w:rPr>
        <w:t xml:space="preserve">Logistics Constraints:</w:t>
      </w:r>
      <w:r>
        <w:t xml:space="preserve"> </w:t>
      </w:r>
      <w:r>
        <w:t xml:space="preserve">32% of schools in Caracas experience delivery delays for physical materials due to transportation issues</w:t>
      </w:r>
    </w:p>
    <w:p>
      <w:pPr>
        <w:numPr>
          <w:ilvl w:val="0"/>
          <w:numId w:val="1002"/>
        </w:numPr>
        <w:pStyle w:val="Compact"/>
      </w:pPr>
      <w:r>
        <w:rPr>
          <w:bCs/>
          <w:b/>
        </w:rPr>
        <w:t xml:space="preserve">Digital Infrastructure Gaps:</w:t>
      </w:r>
      <w:r>
        <w:t xml:space="preserve"> </w:t>
      </w:r>
      <w:r>
        <w:t xml:space="preserve">Only 54% of public secondary schools have reliable high-speed internet (per Venezuela's National Education Survey)</w:t>
      </w:r>
    </w:p>
    <w:p>
      <w:pPr>
        <w:pStyle w:val="FirstParagraph"/>
      </w:pPr>
      <w:r>
        <w:t xml:space="preserve">Despite these challenges, Teacher Secondary implemented localized solutions: We launched offline digital kits with pre-loaded content for areas with poor connectivity and introduced a VES payment plan option approved by Venezuela's Central Bank. This strategic pivot directly contributed to our 18% growth in public school contracts.</w:t>
      </w:r>
    </w:p>
    <w:bookmarkEnd w:id="25"/>
    <w:bookmarkStart w:id="26" w:name="v.-strategic-recommendations"/>
    <w:p>
      <w:pPr>
        <w:pStyle w:val="Heading2"/>
      </w:pPr>
      <w:r>
        <w:t xml:space="preserve">V. Strategic Recommendations</w:t>
      </w:r>
    </w:p>
    <w:p>
      <w:pPr>
        <w:pStyle w:val="FirstParagraph"/>
      </w:pPr>
      <w:r>
        <w:t xml:space="preserve">Based on this Sales Report, we recommend the following for Teacher Secondary's Venezuela Caracas operations:</w:t>
      </w:r>
    </w:p>
    <w:p>
      <w:pPr>
        <w:numPr>
          <w:ilvl w:val="0"/>
          <w:numId w:val="1003"/>
        </w:numPr>
        <w:pStyle w:val="Compact"/>
      </w:pPr>
      <w:r>
        <w:rPr>
          <w:bCs/>
          <w:b/>
        </w:rPr>
        <w:t xml:space="preserve">Expand Offline Capabilities:</w:t>
      </w:r>
      <w:r>
        <w:t xml:space="preserve"> </w:t>
      </w:r>
      <w:r>
        <w:t xml:space="preserve">Develop low-bandwidth versions of all digital resources by Q1 2024 to address internet limitations across Caracas' educational zones</w:t>
      </w:r>
    </w:p>
    <w:p>
      <w:pPr>
        <w:numPr>
          <w:ilvl w:val="0"/>
          <w:numId w:val="1003"/>
        </w:numPr>
        <w:pStyle w:val="Compact"/>
      </w:pPr>
      <w:r>
        <w:rPr>
          <w:bCs/>
          <w:b/>
        </w:rPr>
        <w:t xml:space="preserve">Currency Hedging Strategy:</w:t>
      </w:r>
      <w:r>
        <w:t xml:space="preserve"> </w:t>
      </w:r>
      <w:r>
        <w:t xml:space="preserve">Implement fixed VES pricing for annual subscriptions to reduce client uncertainty during economic volatility</w:t>
      </w:r>
    </w:p>
    <w:p>
      <w:pPr>
        <w:numPr>
          <w:ilvl w:val="0"/>
          <w:numId w:val="1003"/>
        </w:numPr>
        <w:pStyle w:val="Compact"/>
      </w:pPr>
      <w:r>
        <w:rPr>
          <w:bCs/>
          <w:b/>
        </w:rPr>
        <w:t xml:space="preserve">Government Partnership Expansion:</w:t>
      </w:r>
      <w:r>
        <w:t xml:space="preserve"> </w:t>
      </w:r>
      <w:r>
        <w:t xml:space="preserve">Target 8 additional Caracas municipal education offices by Q2 2024 through the Ministry's "Teacher Digitalization" initiative</w:t>
      </w:r>
    </w:p>
    <w:p>
      <w:pPr>
        <w:numPr>
          <w:ilvl w:val="0"/>
          <w:numId w:val="1003"/>
        </w:numPr>
        <w:pStyle w:val="Compact"/>
      </w:pPr>
      <w:r>
        <w:rPr>
          <w:bCs/>
          <w:b/>
        </w:rPr>
        <w:t xml:space="preserve">Localized Content Initiative:</w:t>
      </w:r>
      <w:r>
        <w:t xml:space="preserve"> </w:t>
      </w:r>
      <w:r>
        <w:t xml:space="preserve">Create new modules featuring Venezuelan history, science, and literature to strengthen curriculum alignment</w:t>
      </w:r>
    </w:p>
    <w:p>
      <w:pPr>
        <w:pStyle w:val="FirstParagraph"/>
      </w:pPr>
      <w:r>
        <w:rPr>
          <w:bCs/>
          <w:b/>
        </w:rPr>
        <w:t xml:space="preserve">Forward-Looking Insight:</w:t>
      </w:r>
      <w:r>
        <w:t xml:space="preserve"> </w:t>
      </w:r>
      <w:r>
        <w:t xml:space="preserve">Venezuela Caracas represents a high-potential market where Teacher Secondary can become the indispensable partner for secondary educators. With 89% of teachers surveyed in Caracas reporting increased demand for professional development resources, our current growth trajectory aligns perfectly with market needs.</w:t>
      </w:r>
    </w:p>
    <w:bookmarkEnd w:id="26"/>
    <w:bookmarkStart w:id="27" w:name="vi.-conclusion"/>
    <w:p>
      <w:pPr>
        <w:pStyle w:val="Heading2"/>
      </w:pPr>
      <w:r>
        <w:t xml:space="preserve">VI. Conclusion</w:t>
      </w:r>
    </w:p>
    <w:p>
      <w:pPr>
        <w:pStyle w:val="FirstParagraph"/>
      </w:pPr>
      <w:r>
        <w:t xml:space="preserve">This comprehensive Sales Report confirms Teacher Secondary's strong position as the leading provider of educational solutions for secondary teachers in Venezuela Caracas. Our 14% revenue growth despite macroeconomic headwinds demonstrates the effectiveness of our localized approach and commitment to Venezuela's education system. The data clearly shows that Teacher Secondary is not merely selling products—it is building community trust through meaningful teacher empowerment in one of Latin America's most critical educational markets.</w:t>
      </w:r>
    </w:p>
    <w:p>
      <w:pPr>
        <w:pStyle w:val="BodyText"/>
      </w:pPr>
      <w:r>
        <w:t xml:space="preserve">As we move into 2024, Venezuela Caracas will remain a strategic priority for Teacher Secondary. We are confident that our adaptation to local challenges while delivering high-value pedagogical support will drive sustainable growth. This Sales Report underscores our mission: to equip every secondary educator in Venezuela Caracas with the tools they need to succeed, regardless of external circumstances.</w:t>
      </w:r>
    </w:p>
    <w:p>
      <w:pPr>
        <w:pStyle w:val="BodyText"/>
      </w:pPr>
      <w:r>
        <w:t xml:space="preserve">Teacher Secondary International | Official Sales Report for Venezuela Caracas Operations | Confidential - For Internal Use Only</w:t>
      </w:r>
    </w:p>
    <w:p>
      <w:pPr>
        <w:pStyle w:val="BodyText"/>
      </w:pPr>
      <w:r>
        <w:t xml:space="preserve">Prepared by: Sales &amp; Market Strategy Department, Venezuela Regional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 Venezuela Caracas</dc:title>
  <dc:creator/>
  <dc:language>en</dc:language>
  <cp:keywords/>
  <dcterms:created xsi:type="dcterms:W3CDTF">2026-07-23T17:37:11Z</dcterms:created>
  <dcterms:modified xsi:type="dcterms:W3CDTF">2026-07-23T17:37:11Z</dcterms:modified>
</cp:coreProperties>
</file>

<file path=docProps/custom.xml><?xml version="1.0" encoding="utf-8"?>
<Properties xmlns="http://schemas.openxmlformats.org/officeDocument/2006/custom-properties" xmlns:vt="http://schemas.openxmlformats.org/officeDocument/2006/docPropsVTypes"/>
</file>