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0" w:name="X66eddf2220723c33e54d6ea337697cc33087a28"/>
    <w:p>
      <w:pPr>
        <w:pStyle w:val="Heading1"/>
      </w:pPr>
      <w:r>
        <w:t xml:space="preserve">Quarterly Sales Report: Teacher Secondary Educational Solutions - Ho Chi Minh City Market</w:t>
      </w:r>
    </w:p>
    <w:p>
      <w:pPr>
        <w:pStyle w:val="FirstParagraph"/>
      </w:pPr>
      <w:r>
        <w:rPr>
          <w:bCs/>
          <w:b/>
        </w:rPr>
        <w:t xml:space="preserve">Report Period:</w:t>
      </w:r>
      <w:r>
        <w:t xml:space="preserve"> </w:t>
      </w:r>
      <w:r>
        <w:t xml:space="preserve">Q3 2023 (July 1 - September 30, 2023)</w:t>
      </w:r>
      <w:r>
        <w:br/>
      </w:r>
      <w:r>
        <w:rPr>
          <w:bCs/>
          <w:b/>
        </w:rPr>
        <w:t xml:space="preserve">Prepared For:</w:t>
      </w:r>
      <w:r>
        <w:t xml:space="preserve"> </w:t>
      </w:r>
      <w:r>
        <w:t xml:space="preserve">Regional Sales Leadership, Vietnam Operations</w:t>
      </w:r>
      <w:r>
        <w:br/>
      </w:r>
      <w:r>
        <w:rPr>
          <w:bCs/>
          <w:b/>
        </w:rPr>
        <w:t xml:space="preserve">Key Focus:</w:t>
      </w:r>
      <w:r>
        <w:t xml:space="preserve"> </w:t>
      </w:r>
      <w:r>
        <w:t xml:space="preserve">Teacher Secondary market penetration in Ho Chi Minh City's educational ecosystem</w:t>
      </w:r>
    </w:p>
    <w:bookmarkStart w:id="20" w:name="i.-executive-summary"/>
    <w:p>
      <w:pPr>
        <w:pStyle w:val="Heading2"/>
      </w:pPr>
      <w:r>
        <w:t xml:space="preserve">I. Executive Summary</w:t>
      </w:r>
    </w:p>
    <w:p>
      <w:pPr>
        <w:pStyle w:val="FirstParagraph"/>
      </w:pPr>
      <w:r>
        <w:t xml:space="preserve">This comprehensive Sales Report details the performance of our Teacher Secondary educational solutions across Ho Chi Minh City (HCMC), Vietnam. The quarter demonstrated significant growth in adoption among secondary school educators, with a 34% YoY increase in licensed users and a 28% expansion in revenue within HCMC's competitive education market. Our strategic focus on tailoring solutions to the specific pedagogical needs of Vietnamese secondary teachers has positioned us as the preferred provider for digital teaching resources in this critical urban center. This report confirms that our Teacher Secondary initiative is not merely meeting but exceeding market expectations in Vietnam's most dynamic educational hub.</w:t>
      </w:r>
    </w:p>
    <w:bookmarkEnd w:id="20"/>
    <w:bookmarkStart w:id="21" w:name="Xc4526f039ac5ba5dc29557fafb9b70a66db072e"/>
    <w:p>
      <w:pPr>
        <w:pStyle w:val="Heading2"/>
      </w:pPr>
      <w:r>
        <w:t xml:space="preserve">II. Market Context: Teacher Secondary Landscape in HCMC</w:t>
      </w:r>
    </w:p>
    <w:p>
      <w:pPr>
        <w:pStyle w:val="FirstParagraph"/>
      </w:pPr>
      <w:r>
        <w:t xml:space="preserve">Ho Chi Minh City represents Vietnam's largest education market, housing over 3,500 secondary schools (General Education Department, 2023) serving 1.8 million students. The national "Digital Transformation in Education" policy (Decision No. 1985/QD-TTg) has accelerated demand for quality Teacher Secondary resources, particularly in urban centers like HCMC where school administrators prioritize technology integration. Our analysis reveals that 76% of secondary teachers in HCMC now require digital tools aligned with the new national curriculum standards, creating a $14.2 million opportunity we're capturing through our Teacher Secondary platform.</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Q3 2022 (Prior Year)</w:t>
            </w:r>
          </w:p>
        </w:tc>
        <w:tc>
          <w:tcPr/>
          <w:p>
            <w:pPr>
              <w:pStyle w:val="Compact"/>
              <w:jc w:val="left"/>
            </w:pPr>
            <w:r>
              <w:t xml:space="preserve">Growth Rate</w:t>
            </w:r>
          </w:p>
        </w:tc>
      </w:tr>
      <w:tr>
        <w:tc>
          <w:tcPr/>
          <w:p>
            <w:pPr>
              <w:pStyle w:val="Compact"/>
              <w:jc w:val="left"/>
            </w:pPr>
            <w:r>
              <w:t xml:space="preserve">Total Licensed Teacher Secondary Users in HCMC</w:t>
            </w:r>
          </w:p>
        </w:tc>
        <w:tc>
          <w:tcPr/>
          <w:p>
            <w:pPr>
              <w:pStyle w:val="Compact"/>
              <w:jc w:val="left"/>
            </w:pPr>
            <w:r>
              <w:t xml:space="preserve">8,450</w:t>
            </w:r>
          </w:p>
        </w:tc>
        <w:tc>
          <w:tcPr/>
          <w:p>
            <w:pPr>
              <w:pStyle w:val="Compact"/>
              <w:jc w:val="left"/>
            </w:pPr>
            <w:r>
              <w:t xml:space="preserve">6,305</w:t>
            </w:r>
          </w:p>
        </w:tc>
        <w:tc>
          <w:tcPr/>
          <w:p>
            <w:pPr>
              <w:pStyle w:val="Compact"/>
              <w:jc w:val="left"/>
            </w:pPr>
            <w:r>
              <w:t xml:space="preserve">+34.0%</w:t>
            </w:r>
          </w:p>
        </w:tc>
      </w:tr>
      <w:tr>
        <w:tc>
          <w:tcPr/>
          <w:p>
            <w:pPr>
              <w:pStyle w:val="Compact"/>
              <w:jc w:val="left"/>
            </w:pPr>
            <w:r>
              <w:t xml:space="preserve">Revenue from Teacher Secondary Solutions (HCMC)</w:t>
            </w:r>
          </w:p>
        </w:tc>
        <w:tc>
          <w:tcPr/>
          <w:p>
            <w:pPr>
              <w:pStyle w:val="Compact"/>
              <w:jc w:val="left"/>
            </w:pPr>
            <w:r>
              <w:t xml:space="preserve">$187,250</w:t>
            </w:r>
          </w:p>
        </w:tc>
        <w:tc>
          <w:tcPr/>
          <w:p>
            <w:pPr>
              <w:pStyle w:val="Compact"/>
              <w:jc w:val="left"/>
            </w:pPr>
            <w:r>
              <w:t xml:space="preserve">$146,300</w:t>
            </w:r>
          </w:p>
        </w:tc>
        <w:tc>
          <w:tcPr/>
          <w:p>
            <w:pPr>
              <w:pStyle w:val="Compact"/>
              <w:jc w:val="left"/>
            </w:pPr>
            <w:r>
              <w:t xml:space="preserve">+28.0%</w:t>
            </w:r>
          </w:p>
        </w:tc>
      </w:tr>
      <w:tr>
        <w:tc>
          <w:tcPr/>
          <w:p>
            <w:pPr>
              <w:pStyle w:val="Compact"/>
              <w:jc w:val="left"/>
            </w:pPr>
            <w:r>
              <w:t xml:space="preserve">Customer Acquisition Cost (CAC) Reduction</w:t>
            </w:r>
          </w:p>
        </w:tc>
        <w:tc>
          <w:tcPr/>
          <w:p>
            <w:pPr>
              <w:pStyle w:val="Compact"/>
              <w:jc w:val="left"/>
            </w:pPr>
            <w:r>
              <w:t xml:space="preserve">$37.50</w:t>
            </w:r>
          </w:p>
        </w:tc>
        <w:tc>
          <w:tcPr/>
          <w:p>
            <w:pPr>
              <w:pStyle w:val="Compact"/>
              <w:jc w:val="left"/>
            </w:pPr>
            <w:r>
              <w:t xml:space="preserve">$52.80</w:t>
            </w:r>
          </w:p>
        </w:tc>
        <w:tc>
          <w:tcPr/>
          <w:p>
            <w:pPr>
              <w:pStyle w:val="Compact"/>
              <w:jc w:val="left"/>
            </w:pPr>
            <w:r>
              <w:t xml:space="preserve">-29.3%</w:t>
            </w:r>
          </w:p>
        </w:tc>
      </w:tr>
      <w:tr>
        <w:tc>
          <w:tcPr/>
          <w:p>
            <w:pPr>
              <w:pStyle w:val="Compact"/>
              <w:jc w:val="left"/>
            </w:pPr>
            <w:r>
              <w:t xml:space="preserve">Net Promoter Score (NPS)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p>
      <w:pPr>
        <w:pStyle w:val="BodyText"/>
      </w:pPr>
      <w:r>
        <w:t xml:space="preserve">The 34% user growth in our Teacher Secondary solutions directly correlates with the HCMC Department of Education's recent initiative to equip 70% of secondary schools with digital teaching resources by 2025. Our localized content—featuring Vietnamese curriculum-aligned lesson plans, assessment templates, and professional development modules for secondary teachers—has been particularly well-received. The NPS increase to 68 demonstrates exceptional teacher satisfaction, a critical metric in Vietnam's education sector where teacher retention remains a strategic priority.</w:t>
      </w:r>
    </w:p>
    <w:bookmarkEnd w:id="22"/>
    <w:bookmarkStart w:id="26" w:name="X38f3176f3c2aa5be64a629091a5015d65d4cda1"/>
    <w:p>
      <w:pPr>
        <w:pStyle w:val="Heading2"/>
      </w:pPr>
      <w:r>
        <w:t xml:space="preserve">IV. Strategic Success Factors in Vietnam Ho Chi Minh City</w:t>
      </w:r>
    </w:p>
    <w:p>
      <w:pPr>
        <w:pStyle w:val="FirstParagraph"/>
      </w:pPr>
      <w:r>
        <w:t xml:space="preserve">Three key strategies drove our Teacher Secondary success in HCMC:</w:t>
      </w:r>
    </w:p>
    <w:bookmarkStart w:id="23" w:name="X2c02159a24188831696b209963a31ca40c8893b"/>
    <w:p>
      <w:pPr>
        <w:pStyle w:val="Heading3"/>
      </w:pPr>
      <w:r>
        <w:t xml:space="preserve">A. Culturally Aligned Product Development</w:t>
      </w:r>
    </w:p>
    <w:p>
      <w:pPr>
        <w:pStyle w:val="FirstParagraph"/>
      </w:pPr>
      <w:r>
        <w:t xml:space="preserve">We partnered with 18 leading secondary schools across HCMC's districts (District 1, 3, Binh Thanh) to co-develop content matching the Vietnamese National Curriculum for Secondary Education (2020). Our Teacher Secondary platform now includes:</w:t>
      </w:r>
    </w:p>
    <w:p>
      <w:pPr>
        <w:numPr>
          <w:ilvl w:val="0"/>
          <w:numId w:val="1001"/>
        </w:numPr>
        <w:pStyle w:val="Compact"/>
      </w:pPr>
      <w:r>
        <w:t xml:space="preserve">Curriculum maps for Math/Physics/Chemistry aligned with MOET standards</w:t>
      </w:r>
    </w:p>
    <w:p>
      <w:pPr>
        <w:numPr>
          <w:ilvl w:val="0"/>
          <w:numId w:val="1001"/>
        </w:numPr>
        <w:pStyle w:val="Compact"/>
      </w:pPr>
      <w:r>
        <w:t xml:space="preserve">Vietnamese-language video tutorials for digital pedagogy</w:t>
      </w:r>
    </w:p>
    <w:p>
      <w:pPr>
        <w:numPr>
          <w:ilvl w:val="0"/>
          <w:numId w:val="1001"/>
        </w:numPr>
        <w:pStyle w:val="Compact"/>
      </w:pPr>
      <w:r>
        <w:t xml:space="preserve">Offline-capable mobile modules addressing HCMC's variable internet connectivity</w:t>
      </w:r>
    </w:p>
    <w:bookmarkEnd w:id="23"/>
    <w:bookmarkStart w:id="24" w:name="X79eaaea35b187acc87b5aaea15da35742ab946f"/>
    <w:p>
      <w:pPr>
        <w:pStyle w:val="Heading3"/>
      </w:pPr>
      <w:r>
        <w:t xml:space="preserve">B. District-Level Teacher Engagement Programs</w:t>
      </w:r>
    </w:p>
    <w:p>
      <w:pPr>
        <w:pStyle w:val="FirstParagraph"/>
      </w:pPr>
      <w:r>
        <w:t xml:space="preserve">Our HCMC sales team conducted 27 teacher workshops across 5 districts during Q3, training educators on implementing Teacher Secondary solutions in classrooms. These sessions—held at school campuses and the HCMC Educational Technology Center—reduced implementation barriers and built trust with school principals who influence purchasing decisions.</w:t>
      </w:r>
    </w:p>
    <w:bookmarkEnd w:id="24"/>
    <w:bookmarkStart w:id="25" w:name="X3e51dbbd5186e41865f40163aaa5ff7767e59a9"/>
    <w:p>
      <w:pPr>
        <w:pStyle w:val="Heading3"/>
      </w:pPr>
      <w:r>
        <w:t xml:space="preserve">C. Strategic Partnerships with Key Institutions</w:t>
      </w:r>
    </w:p>
    <w:p>
      <w:pPr>
        <w:pStyle w:val="FirstParagraph"/>
      </w:pPr>
      <w:r>
        <w:t xml:space="preserve">Successful collaborations include:</w:t>
      </w:r>
    </w:p>
    <w:p>
      <w:pPr>
        <w:numPr>
          <w:ilvl w:val="0"/>
          <w:numId w:val="1002"/>
        </w:numPr>
        <w:pStyle w:val="Compact"/>
      </w:pPr>
      <w:r>
        <w:t xml:space="preserve">MOET's Provincial Education Office in HCMC (official endorsement for Teacher Secondary content)</w:t>
      </w:r>
    </w:p>
    <w:p>
      <w:pPr>
        <w:numPr>
          <w:ilvl w:val="0"/>
          <w:numId w:val="1002"/>
        </w:numPr>
        <w:pStyle w:val="Compact"/>
      </w:pPr>
      <w:r>
        <w:t xml:space="preserve">Viettel Education (integrated our platform into their district-wide digital learning ecosystem)</w:t>
      </w:r>
    </w:p>
    <w:p>
      <w:pPr>
        <w:numPr>
          <w:ilvl w:val="0"/>
          <w:numId w:val="1002"/>
        </w:numPr>
        <w:pStyle w:val="Compact"/>
      </w:pPr>
      <w:r>
        <w:t xml:space="preserve">HCMC University of Pedagogy (co-hosted teacher certification program using our platform)</w:t>
      </w:r>
    </w:p>
    <w:bookmarkEnd w:id="25"/>
    <w:bookmarkEnd w:id="26"/>
    <w:bookmarkStart w:id="27" w:name="Xbe2f6ca85919a2a7205d36cfcf178fda8f6cc60"/>
    <w:p>
      <w:pPr>
        <w:pStyle w:val="Heading2"/>
      </w:pPr>
      <w:r>
        <w:t xml:space="preserve">V. Market Challenges and Opportunities in HCMC</w:t>
      </w:r>
    </w:p>
    <w:p>
      <w:pPr>
        <w:pStyle w:val="FirstParagraph"/>
      </w:pPr>
      <w:r>
        <w:t xml:space="preserve">Despite strong performance, we identified three critical challenges requiring immediate attention:</w:t>
      </w:r>
    </w:p>
    <w:p>
      <w:pPr>
        <w:numPr>
          <w:ilvl w:val="0"/>
          <w:numId w:val="1003"/>
        </w:numPr>
        <w:pStyle w:val="Compact"/>
      </w:pPr>
      <w:r>
        <w:rPr>
          <w:bCs/>
          <w:b/>
        </w:rPr>
        <w:t xml:space="preserve">Infrastructure Gaps:</w:t>
      </w:r>
      <w:r>
        <w:t xml:space="preserve"> </w:t>
      </w:r>
      <w:r>
        <w:t xml:space="preserve">43% of rural secondary schools in HCMC's outskirts lack reliable internet, limiting Teacher Secondary adoption. *Opportunity:* Develop offline-first modules with USB-based distribution for remote schools.</w:t>
      </w:r>
    </w:p>
    <w:p>
      <w:pPr>
        <w:numPr>
          <w:ilvl w:val="0"/>
          <w:numId w:val="1003"/>
        </w:numPr>
        <w:pStyle w:val="Compact"/>
      </w:pPr>
      <w:r>
        <w:rPr>
          <w:bCs/>
          <w:b/>
        </w:rPr>
        <w:t xml:space="preserve">Budget Constraints:</w:t>
      </w:r>
      <w:r>
        <w:t xml:space="preserve"> </w:t>
      </w:r>
      <w:r>
        <w:t xml:space="preserve">Many public secondary schools face budget cuts after MOET's 2023 fiscal reallocations. *Opportunity:* Introduce tiered pricing (Basic/Pro) and group purchasing discounts for school clusters.</w:t>
      </w:r>
    </w:p>
    <w:p>
      <w:pPr>
        <w:numPr>
          <w:ilvl w:val="0"/>
          <w:numId w:val="1003"/>
        </w:numPr>
        <w:pStyle w:val="Compact"/>
      </w:pPr>
      <w:r>
        <w:rPr>
          <w:bCs/>
          <w:b/>
        </w:rPr>
        <w:t xml:space="preserve">Competition:</w:t>
      </w:r>
      <w:r>
        <w:t xml:space="preserve"> </w:t>
      </w:r>
      <w:r>
        <w:t xml:space="preserve">Local edtech firms like ELS Vietnam are offering cheaper alternatives. *Opportunity:* Leverage our Teacher Secondary platform's MOET compliance as a differentiator in tender processes.</w:t>
      </w:r>
    </w:p>
    <w:bookmarkEnd w:id="27"/>
    <w:bookmarkStart w:id="28" w:name="Xe31a6aeec5dad22ccf73d8149e7a12794e844c2"/>
    <w:p>
      <w:pPr>
        <w:pStyle w:val="Heading2"/>
      </w:pPr>
      <w:r>
        <w:t xml:space="preserve">VI. Strategic Recommendations for Q4 2023</w:t>
      </w:r>
    </w:p>
    <w:p>
      <w:pPr>
        <w:pStyle w:val="FirstParagraph"/>
      </w:pPr>
      <w:r>
        <w:t xml:space="preserve">To sustain growth of our Teacher Secondary initiative in Vietnam Ho Chi Minh City, we recommend:</w:t>
      </w:r>
    </w:p>
    <w:p>
      <w:pPr>
        <w:numPr>
          <w:ilvl w:val="0"/>
          <w:numId w:val="1004"/>
        </w:numPr>
        <w:pStyle w:val="Compact"/>
      </w:pPr>
      <w:r>
        <w:rPr>
          <w:bCs/>
          <w:b/>
        </w:rPr>
        <w:t xml:space="preserve">Expand Offline Access:</w:t>
      </w:r>
      <w:r>
        <w:t xml:space="preserve"> </w:t>
      </w:r>
      <w:r>
        <w:t xml:space="preserve">Launch "Teacher Secondary Lite" USB drives for low-connectivity schools (Target: 500+ schools by Dec 2023)</w:t>
      </w:r>
    </w:p>
    <w:p>
      <w:pPr>
        <w:numPr>
          <w:ilvl w:val="0"/>
          <w:numId w:val="1004"/>
        </w:numPr>
        <w:pStyle w:val="Compact"/>
      </w:pPr>
      <w:r>
        <w:rPr>
          <w:bCs/>
          <w:b/>
        </w:rPr>
        <w:t xml:space="preserve">Government Tenders Strategy:</w:t>
      </w:r>
      <w:r>
        <w:t xml:space="preserve"> </w:t>
      </w:r>
      <w:r>
        <w:t xml:space="preserve">Prioritize submission for HCMC Department of Education's upcoming $1.2M digital resource procurement</w:t>
      </w:r>
    </w:p>
    <w:p>
      <w:pPr>
        <w:numPr>
          <w:ilvl w:val="0"/>
          <w:numId w:val="1004"/>
        </w:numPr>
        <w:pStyle w:val="Compact"/>
      </w:pPr>
      <w:r>
        <w:rPr>
          <w:bCs/>
          <w:b/>
        </w:rPr>
        <w:t xml:space="preserve">Teacher Ambassador Program:</w:t>
      </w:r>
      <w:r>
        <w:t xml:space="preserve"> </w:t>
      </w:r>
      <w:r>
        <w:t xml:space="preserve">Recruit 50 influential secondary teachers across HCMC to become certified advocates for our platform</w:t>
      </w:r>
    </w:p>
    <w:p>
      <w:pPr>
        <w:numPr>
          <w:ilvl w:val="0"/>
          <w:numId w:val="1004"/>
        </w:numPr>
        <w:pStyle w:val="Compact"/>
      </w:pPr>
      <w:r>
        <w:rPr>
          <w:bCs/>
          <w:b/>
        </w:rPr>
        <w:t xml:space="preserve">Content Localization:</w:t>
      </w:r>
      <w:r>
        <w:t xml:space="preserve"> </w:t>
      </w:r>
      <w:r>
        <w:t xml:space="preserve">Add 20 new Vietnamese-language subject modules (including Geography and Civics) by Q1 2024</w:t>
      </w:r>
    </w:p>
    <w:bookmarkEnd w:id="28"/>
    <w:bookmarkStart w:id="29" w:name="X6845b05456e6133290e33ea31dcc20695e7420f"/>
    <w:p>
      <w:pPr>
        <w:pStyle w:val="Heading2"/>
      </w:pPr>
      <w:r>
        <w:t xml:space="preserve">VII. Conclusion: Teacher Secondary as Catalyst for HCMC's Education Transformation</w:t>
      </w:r>
    </w:p>
    <w:p>
      <w:pPr>
        <w:pStyle w:val="FirstParagraph"/>
      </w:pPr>
      <w:r>
        <w:t xml:space="preserve">This Sales Report underscores that our Teacher Secondary initiative has evolved from a product into an essential catalyst for educational advancement across Vietnam Ho Chi Minh City. The 34% user growth and 68 NPS reflect deep market resonance with secondary educators' evolving needs. As HCMC accelerates its digital education roadmap, our localized Teacher Secondary solutions are positioned to capture 25% of the city's secondary teacher resource market by Q2 2024. We recommend doubling down on culturally intelligent product development and strategic public-private partnerships to cement our leadership position in Vietnam's most pivotal educational market.</w:t>
      </w:r>
    </w:p>
    <w:p>
      <w:pPr>
        <w:pStyle w:val="BodyText"/>
      </w:pPr>
      <w:r>
        <w:rPr>
          <w:bCs/>
          <w:b/>
        </w:rPr>
        <w:t xml:space="preserve">Prepared By:</w:t>
      </w:r>
      <w:r>
        <w:t xml:space="preserve"> </w:t>
      </w:r>
      <w:r>
        <w:t xml:space="preserve">Regional Sales Strategy Team, Vietnam Operations</w:t>
      </w:r>
      <w:r>
        <w:br/>
      </w:r>
      <w:r>
        <w:rPr>
          <w:bCs/>
          <w:b/>
        </w:rPr>
        <w:t xml:space="preserve">Date:</w:t>
      </w:r>
      <w:r>
        <w:t xml:space="preserve"> </w:t>
      </w:r>
      <w:r>
        <w:t xml:space="preserve">October 15, 2023</w:t>
      </w:r>
    </w:p>
    <w:p>
      <w:pPr>
        <w:pStyle w:val="BodyText"/>
      </w:pPr>
      <w:r>
        <w:t xml:space="preserve">This document constitutes the official Sales Report for Teacher Secondary solutions in Vietnam Ho Chi Minh City. All data sourced from HCMC Education Department, MOET reports, and internal sales analytics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Ho Chi Minh City</dc:title>
  <dc:creator/>
  <dc:language>en</dc:language>
  <cp:keywords/>
  <dcterms:created xsi:type="dcterms:W3CDTF">2026-07-24T22:46:23Z</dcterms:created>
  <dcterms:modified xsi:type="dcterms:W3CDTF">2026-07-24T22:46:23Z</dcterms:modified>
</cp:coreProperties>
</file>

<file path=docProps/custom.xml><?xml version="1.0" encoding="utf-8"?>
<Properties xmlns="http://schemas.openxmlformats.org/officeDocument/2006/custom-properties" xmlns:vt="http://schemas.openxmlformats.org/officeDocument/2006/docPropsVTypes"/>
</file>