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5" w:name="X0f98a7d50b0869a065c899e3fafff517fb71024"/>
    <w:p>
      <w:pPr>
        <w:pStyle w:val="Heading1"/>
      </w:pPr>
      <w:r>
        <w:t xml:space="preserve">Sales Report: Telecommunication Engineer Services in Australia Melbourne</w:t>
      </w:r>
    </w:p>
    <w:p>
      <w:pPr>
        <w:pStyle w:val="FirstParagraph"/>
      </w:pPr>
      <w:r>
        <w:t xml:space="preserve">Prepared for Melbourne Regional Management Team |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Telecommunication Engineer services across Australia Melbourne during the third quarter of 2023. As Melbourne continues to solidify its position as Australia's leading telecommunications hub, our engineering services have demonstrated exceptional growth trajectory. The report confirms that investments in skilled Telecommunication Engineer talent directly correlate with 34% year-over-year revenue growth in metropolitan service contracts, establishing Melbourne as the critical engine for national expansion.</w:t>
      </w:r>
    </w:p>
    <w:bookmarkEnd w:id="20"/>
    <w:bookmarkStart w:id="21" w:name="X2d328aa90dbffbcf0cc91d0fe8377b3e66db91b"/>
    <w:p>
      <w:pPr>
        <w:pStyle w:val="Heading2"/>
      </w:pPr>
      <w:r>
        <w:t xml:space="preserve">Market Context: Melbourne's Telecommunications Landscape</w:t>
      </w:r>
    </w:p>
    <w:p>
      <w:pPr>
        <w:pStyle w:val="FirstParagraph"/>
      </w:pPr>
      <w:r>
        <w:t xml:space="preserve">Australia Melbourne has experienced unprecedented demand for advanced telecommunications infrastructure, driven by the Victorian Government's $1.5 billion Digital Infrastructure Plan and the accelerated rollout of 5G networks across metropolitan corridors. With over 80% of Australia's telecommunication engineering workforce concentrated in Melbourne, our service footprint aligns perfectly with strategic national priorities. The recent National Broadband Network (NBN) upgrades alone have generated $278M in new service contracts for certified Telecommunication Engineers operating within Melbourne's municipal boundaries.</w:t>
      </w:r>
    </w:p>
    <w:bookmarkEnd w:id="21"/>
    <w:bookmarkStart w:id="24" w:name="sales-performance-analysis"/>
    <w:p>
      <w:pPr>
        <w:pStyle w:val="Heading2"/>
      </w:pPr>
      <w:r>
        <w:t xml:space="preserve">Sales Performance Analysis</w:t>
      </w:r>
    </w:p>
    <w:bookmarkStart w:id="22" w:name="key-metrics-q3-2023"/>
    <w:p>
      <w:pPr>
        <w:pStyle w:val="Heading3"/>
      </w:pPr>
      <w:r>
        <w:t xml:space="preserve">Key Metrics (Q3 2023)</w:t>
      </w:r>
    </w:p>
    <w:p>
      <w:pPr>
        <w:numPr>
          <w:ilvl w:val="0"/>
          <w:numId w:val="1001"/>
        </w:numPr>
        <w:pStyle w:val="Compact"/>
      </w:pPr>
      <w:r>
        <w:rPr>
          <w:bCs/>
          <w:b/>
        </w:rPr>
        <w:t xml:space="preserve">Revenue Growth:</w:t>
      </w:r>
      <w:r>
        <w:t xml:space="preserve"> </w:t>
      </w:r>
      <w:r>
        <w:t xml:space="preserve">$4.8M (up 34% YoY) - driven by enterprise-grade network deployments in Docklands, Southbank, and Melbourne CBD</w:t>
      </w:r>
    </w:p>
    <w:p>
      <w:pPr>
        <w:numPr>
          <w:ilvl w:val="0"/>
          <w:numId w:val="1001"/>
        </w:numPr>
        <w:pStyle w:val="Compact"/>
      </w:pPr>
      <w:r>
        <w:rPr>
          <w:bCs/>
          <w:b/>
        </w:rPr>
        <w:t xml:space="preserve">Customer Acquisition:</w:t>
      </w:r>
      <w:r>
        <w:t xml:space="preserve"> </w:t>
      </w:r>
      <w:r>
        <w:t xml:space="preserve">27 new corporate clients secured (including major banks and healthcare providers)</w:t>
      </w:r>
    </w:p>
    <w:p>
      <w:pPr>
        <w:numPr>
          <w:ilvl w:val="0"/>
          <w:numId w:val="1001"/>
        </w:numPr>
        <w:pStyle w:val="Compact"/>
      </w:pPr>
      <w:r>
        <w:rPr>
          <w:bCs/>
          <w:b/>
        </w:rPr>
        <w:t xml:space="preserve">Service Adoption:</w:t>
      </w:r>
      <w:r>
        <w:t xml:space="preserve"> </w:t>
      </w:r>
      <w:r>
        <w:t xml:space="preserve">68% increase in IoT connectivity solutions for Smart City projects</w:t>
      </w:r>
    </w:p>
    <w:p>
      <w:pPr>
        <w:numPr>
          <w:ilvl w:val="0"/>
          <w:numId w:val="1001"/>
        </w:numPr>
        <w:pStyle w:val="Compact"/>
      </w:pPr>
      <w:r>
        <w:rPr>
          <w:bCs/>
          <w:b/>
        </w:rPr>
        <w:t xml:space="preserve">Sales Cycle Efficiency:</w:t>
      </w:r>
      <w:r>
        <w:t xml:space="preserve"> </w:t>
      </w:r>
      <w:r>
        <w:t xml:space="preserve">Reduced from 92 to 58 days through enhanced Telecommunication Engineer deployment protocols</w:t>
      </w:r>
    </w:p>
    <w:bookmarkEnd w:id="22"/>
    <w:bookmarkStart w:id="23" w:name="geographic-breakdown"/>
    <w:p>
      <w:pPr>
        <w:pStyle w:val="Heading3"/>
      </w:pPr>
      <w:r>
        <w:t xml:space="preserve">Geographic Breakdown</w:t>
      </w:r>
    </w:p>
    <w:p>
      <w:pPr>
        <w:pStyle w:val="FirstParagraph"/>
      </w:pPr>
      <w:r>
        <w:t xml:space="preserve">Metropolitan Melbourne delivered the strongest performance across all service categories. The inner-city precincts (Melbourne CBD, Southbank, Docklands) contributed 62% of total revenue through high-value infrastructure projects. Suburban growth in Casey and Maribyrnong areas showed 41% year-on-year expansion as regional broadband initiatives accelerated under the Victorian Government's $500M Smart Cities Program. Notably, all major sales wins required certified Telecommunication Engineer credentials compliant with Australian Telecommunications Industry Register (ATIR) standards.</w:t>
      </w:r>
    </w:p>
    <w:bookmarkEnd w:id="23"/>
    <w:bookmarkEnd w:id="24"/>
    <w:bookmarkStart w:id="27" w:name="critical-success-factors"/>
    <w:p>
      <w:pPr>
        <w:pStyle w:val="Heading2"/>
      </w:pPr>
      <w:r>
        <w:t xml:space="preserve">Critical Success Factors</w:t>
      </w:r>
    </w:p>
    <w:bookmarkStart w:id="25" w:name="engineer-capability-as-sales-catalyst"/>
    <w:p>
      <w:pPr>
        <w:pStyle w:val="Heading3"/>
      </w:pPr>
      <w:r>
        <w:t xml:space="preserve">Engineer Capability as Sales Catalyst</w:t>
      </w:r>
    </w:p>
    <w:p>
      <w:pPr>
        <w:pStyle w:val="FirstParagraph"/>
      </w:pPr>
      <w:r>
        <w:t xml:space="preserve">Our sales velocity directly correlates with the specialization of our Telecommunication Engineers. Clients consistently prioritize vendors with engineers holding:</w:t>
      </w:r>
    </w:p>
    <w:p>
      <w:pPr>
        <w:numPr>
          <w:ilvl w:val="0"/>
          <w:numId w:val="1002"/>
        </w:numPr>
        <w:pStyle w:val="Compact"/>
      </w:pPr>
      <w:r>
        <w:t xml:space="preserve">Australian Communications and Media Authority (ACMA) licensing</w:t>
      </w:r>
    </w:p>
    <w:p>
      <w:pPr>
        <w:numPr>
          <w:ilvl w:val="0"/>
          <w:numId w:val="1002"/>
        </w:numPr>
        <w:pStyle w:val="Compact"/>
      </w:pPr>
      <w:r>
        <w:t xml:space="preserve">Certified expertise in fiber-optic networks and 5G RAN deployments</w:t>
      </w:r>
    </w:p>
    <w:p>
      <w:pPr>
        <w:numPr>
          <w:ilvl w:val="0"/>
          <w:numId w:val="1002"/>
        </w:numPr>
        <w:pStyle w:val="Compact"/>
      </w:pPr>
      <w:r>
        <w:t xml:space="preserve">Proficiency in NBN Co. compliance frameworks</w:t>
      </w:r>
    </w:p>
    <w:p>
      <w:pPr>
        <w:pStyle w:val="FirstParagraph"/>
      </w:pPr>
      <w:r>
        <w:t xml:space="preserve">The integration of our Telecommunication Engineer team into pre-sales engineering consultations reduced client objections by 57% compared to previous quarters. For instance, the Melbourne Airport expansion project secured $1.2M in contracts after a certified engineer demonstrated real-time network simulation capabilities during client workshops.</w:t>
      </w:r>
    </w:p>
    <w:bookmarkEnd w:id="25"/>
    <w:bookmarkStart w:id="26" w:name="compliance-as-competitive-advantage"/>
    <w:p>
      <w:pPr>
        <w:pStyle w:val="Heading3"/>
      </w:pPr>
      <w:r>
        <w:t xml:space="preserve">Compliance as Competitive Advantage</w:t>
      </w:r>
    </w:p>
    <w:p>
      <w:pPr>
        <w:pStyle w:val="FirstParagraph"/>
      </w:pPr>
      <w:r>
        <w:t xml:space="preserve">In Australia's stringent telecommunications regulatory environment, our adherence to Australian Standard AS/NZS 3000 (Wiring Rules) and the Telecommunications Act 1997 became a decisive factor in winning government contracts. The City of Melbourne's Smart Lighting Project required engineering teams certified under the National Electrical Code - a requirement fulfilled by all engineers in our Melbourne service division, securing $850K in repeat business.</w:t>
      </w:r>
    </w:p>
    <w:bookmarkEnd w:id="26"/>
    <w:bookmarkEnd w:id="27"/>
    <w:bookmarkStart w:id="30" w:name="market-challenges-strategic-response"/>
    <w:p>
      <w:pPr>
        <w:pStyle w:val="Heading2"/>
      </w:pPr>
      <w:r>
        <w:t xml:space="preserve">Market Challenges &amp; Strategic Response</w:t>
      </w:r>
    </w:p>
    <w:bookmarkStart w:id="28" w:name="skills-shortage-impact"/>
    <w:p>
      <w:pPr>
        <w:pStyle w:val="Heading3"/>
      </w:pPr>
      <w:r>
        <w:t xml:space="preserve">Skills Shortage Impact</w:t>
      </w:r>
    </w:p>
    <w:p>
      <w:pPr>
        <w:pStyle w:val="FirstParagraph"/>
      </w:pPr>
      <w:r>
        <w:t xml:space="preserve">Despite strong demand, Melbourne faces a critical shortage of qualified Telecommunication Engineers, with 68% of surveyed clients citing this as their primary project delay factor. Our response includes:</w:t>
      </w:r>
    </w:p>
    <w:p>
      <w:pPr>
        <w:numPr>
          <w:ilvl w:val="0"/>
          <w:numId w:val="1003"/>
        </w:numPr>
        <w:pStyle w:val="Compact"/>
      </w:pPr>
      <w:r>
        <w:t xml:space="preserve">Partnerships with RMIT University's Telecommunications Engineering program</w:t>
      </w:r>
    </w:p>
    <w:p>
      <w:pPr>
        <w:numPr>
          <w:ilvl w:val="0"/>
          <w:numId w:val="1003"/>
        </w:numPr>
        <w:pStyle w:val="Compact"/>
      </w:pPr>
      <w:r>
        <w:t xml:space="preserve">Enhanced graduate development pathways (20% faster certification processing)</w:t>
      </w:r>
    </w:p>
    <w:p>
      <w:pPr>
        <w:numPr>
          <w:ilvl w:val="0"/>
          <w:numId w:val="1003"/>
        </w:numPr>
        <w:pStyle w:val="Compact"/>
      </w:pPr>
      <w:r>
        <w:t xml:space="preserve">Dedicated recruitment drive targeting Melbourne-based engineers</w:t>
      </w:r>
    </w:p>
    <w:bookmarkEnd w:id="28"/>
    <w:bookmarkStart w:id="29" w:name="competitive-differentiation-strategy"/>
    <w:p>
      <w:pPr>
        <w:pStyle w:val="Heading3"/>
      </w:pPr>
      <w:r>
        <w:t xml:space="preserve">Competitive Differentiation Strategy</w:t>
      </w:r>
    </w:p>
    <w:p>
      <w:pPr>
        <w:pStyle w:val="FirstParagraph"/>
      </w:pPr>
      <w:r>
        <w:t xml:space="preserve">Australia's telecommunications market is increasingly competitive, but our Melbourne team differentiates through:</w:t>
      </w:r>
    </w:p>
    <w:p>
      <w:pPr>
        <w:numPr>
          <w:ilvl w:val="0"/>
          <w:numId w:val="1004"/>
        </w:numPr>
        <w:pStyle w:val="Compact"/>
      </w:pPr>
      <w:r>
        <w:rPr>
          <w:bCs/>
          <w:b/>
        </w:rPr>
        <w:t xml:space="preserve">Hyperlocal Knowledge:</w:t>
      </w:r>
      <w:r>
        <w:t xml:space="preserve"> </w:t>
      </w:r>
      <w:r>
        <w:t xml:space="preserve">Engineers familiar with Melbourne's unique underground infrastructure challenges (e.g., Victorian Railways' right-of-way constraints)</w:t>
      </w:r>
    </w:p>
    <w:p>
      <w:pPr>
        <w:numPr>
          <w:ilvl w:val="0"/>
          <w:numId w:val="1004"/>
        </w:numPr>
        <w:pStyle w:val="Compact"/>
      </w:pPr>
      <w:r>
        <w:rPr>
          <w:bCs/>
          <w:b/>
        </w:rPr>
        <w:t xml:space="preserve">National Network Access:</w:t>
      </w:r>
      <w:r>
        <w:t xml:space="preserve"> </w:t>
      </w:r>
      <w:r>
        <w:t xml:space="preserve">Seamless deployment across Australia through Melbourne's strategic hub location</w:t>
      </w:r>
    </w:p>
    <w:p>
      <w:pPr>
        <w:numPr>
          <w:ilvl w:val="0"/>
          <w:numId w:val="1004"/>
        </w:numPr>
        <w:pStyle w:val="Compact"/>
      </w:pPr>
      <w:r>
        <w:rPr>
          <w:bCs/>
          <w:b/>
        </w:rPr>
        <w:t xml:space="preserve">Sustainability Integration:</w:t>
      </w:r>
      <w:r>
        <w:t xml:space="preserve"> </w:t>
      </w:r>
      <w:r>
        <w:t xml:space="preserve">43% of new contracts include energy-efficient network designs approved by the Australian Sustainable Built Environment Council (ASBEC)</w:t>
      </w:r>
    </w:p>
    <w:bookmarkEnd w:id="29"/>
    <w:bookmarkEnd w:id="30"/>
    <w:bookmarkStart w:id="33" w:name="future-outlook-strategic-recommendations"/>
    <w:p>
      <w:pPr>
        <w:pStyle w:val="Heading2"/>
      </w:pPr>
      <w:r>
        <w:t xml:space="preserve">Future Outlook &amp; Strategic Recommendations</w:t>
      </w:r>
    </w:p>
    <w:bookmarkStart w:id="31" w:name="q4-2023-growth-projections"/>
    <w:p>
      <w:pPr>
        <w:pStyle w:val="Heading3"/>
      </w:pPr>
      <w:r>
        <w:t xml:space="preserve">Q4 2023 Growth Projections</w:t>
      </w:r>
    </w:p>
    <w:p>
      <w:pPr>
        <w:pStyle w:val="FirstParagraph"/>
      </w:pPr>
      <w:r>
        <w:t xml:space="preserve">Based on pipeline analysis, we forecast:</w:t>
      </w:r>
    </w:p>
    <w:p>
      <w:pPr>
        <w:numPr>
          <w:ilvl w:val="0"/>
          <w:numId w:val="1005"/>
        </w:numPr>
        <w:pStyle w:val="Compact"/>
      </w:pPr>
      <w:r>
        <w:t xml:space="preserve">18% revenue growth in Q4 (projected $5.7M)</w:t>
      </w:r>
    </w:p>
    <w:p>
      <w:pPr>
        <w:numPr>
          <w:ilvl w:val="0"/>
          <w:numId w:val="1005"/>
        </w:numPr>
        <w:pStyle w:val="Compact"/>
      </w:pPr>
      <w:r>
        <w:t xml:space="preserve">New market entry into Melbourne's emerging autonomous vehicle infrastructure sector</w:t>
      </w:r>
    </w:p>
    <w:p>
      <w:pPr>
        <w:numPr>
          <w:ilvl w:val="0"/>
          <w:numId w:val="1005"/>
        </w:numPr>
        <w:pStyle w:val="Compact"/>
      </w:pPr>
      <w:r>
        <w:t xml:space="preserve">Expanded service offering for Victorian government's $300M "Digital Health Network" initiative</w:t>
      </w:r>
    </w:p>
    <w:bookmarkEnd w:id="31"/>
    <w:bookmarkStart w:id="32" w:name="priority-recommendations-for-sales-team"/>
    <w:p>
      <w:pPr>
        <w:pStyle w:val="Heading3"/>
      </w:pPr>
      <w:r>
        <w:t xml:space="preserve">Priority Recommendations for Sales Team</w:t>
      </w:r>
    </w:p>
    <w:p>
      <w:pPr>
        <w:numPr>
          <w:ilvl w:val="0"/>
          <w:numId w:val="1006"/>
        </w:numPr>
        <w:pStyle w:val="Compact"/>
      </w:pPr>
      <w:r>
        <w:rPr>
          <w:bCs/>
          <w:b/>
        </w:rPr>
        <w:t xml:space="preserve">Accelerate Engineer Certification:</w:t>
      </w:r>
      <w:r>
        <w:t xml:space="preserve"> </w:t>
      </w:r>
      <w:r>
        <w:t xml:space="preserve">Allocate $220K for expedited ACMA licensing to address the critical skills gap</w:t>
      </w:r>
    </w:p>
    <w:p>
      <w:pPr>
        <w:numPr>
          <w:ilvl w:val="0"/>
          <w:numId w:val="1006"/>
        </w:numPr>
        <w:pStyle w:val="Compact"/>
      </w:pPr>
      <w:r>
        <w:rPr>
          <w:bCs/>
          <w:b/>
        </w:rPr>
        <w:t xml:space="preserve">Prioritize Smart City Contracts:</w:t>
      </w:r>
      <w:r>
        <w:t xml:space="preserve"> </w:t>
      </w:r>
      <w:r>
        <w:t xml:space="preserve">Target Melbourne's 17 ongoing Smart City projects with tailored Telecommunication Engineer service bundles</w:t>
      </w:r>
    </w:p>
    <w:p>
      <w:pPr>
        <w:numPr>
          <w:ilvl w:val="0"/>
          <w:numId w:val="1006"/>
        </w:numPr>
        <w:pStyle w:val="Compact"/>
      </w:pPr>
      <w:r>
        <w:rPr>
          <w:bCs/>
          <w:b/>
        </w:rPr>
        <w:t xml:space="preserve">Develop Melbourne-Specific Case Studies:</w:t>
      </w:r>
      <w:r>
        <w:t xml:space="preserve"> </w:t>
      </w:r>
      <w:r>
        <w:t xml:space="preserve">Document successes from Docklands and Southbank deployments for client presentations</w:t>
      </w:r>
    </w:p>
    <w:bookmarkEnd w:id="32"/>
    <w:bookmarkEnd w:id="33"/>
    <w:bookmarkStart w:id="34" w:name="conclusion-the-melbourne-advantage"/>
    <w:p>
      <w:pPr>
        <w:pStyle w:val="Heading2"/>
      </w:pPr>
      <w:r>
        <w:t xml:space="preserve">Conclusion: The Melbourne Advantage</w:t>
      </w:r>
    </w:p>
    <w:p>
      <w:pPr>
        <w:pStyle w:val="FirstParagraph"/>
      </w:pPr>
      <w:r>
        <w:t xml:space="preserve">This Sales Report unequivocally confirms that Melbourne represents Australia's premier market for telecommunications engineering services. The strategic positioning of our Telecommunication Engineer team within Melbourne's infrastructure ecosystem has delivered exceptional revenue outcomes, with the city accounting for 73% of our national service growth. As Australia accelerates its digital transformation under the National Digital Economy Strategy, Melbourne's status as a telecommunications hub will only strengthen.</w:t>
      </w:r>
    </w:p>
    <w:p>
      <w:pPr>
        <w:pStyle w:val="BodyText"/>
      </w:pPr>
      <w:r>
        <w:t xml:space="preserve">Our continued investment in certified Telecommunication Engineers - who possess both technical mastery and deep understanding of Australia Melbourne's unique urban infrastructure challenges - is the single most effective sales strategy we employ. We recommend maintaining 100% focus on engineering capability development within our Melbourne operations, as this directly translates to superior client acquisition rates, longer contract lifecycles, and increased market share across all telecommunications service verticals.</w:t>
      </w:r>
    </w:p>
    <w:p>
      <w:pPr>
        <w:pStyle w:val="BodyText"/>
      </w:pPr>
      <w:r>
        <w:t xml:space="preserve">By centering our commercial approach around the expertise of qualified Telecommunication Engineers in Australia Melbourne, we are not merely responding to market demand - we are actively shaping the future of telecommunications infrastructure delivery in one of the world's most connected cities.</w:t>
      </w:r>
    </w:p>
    <w:p>
      <w:pPr>
        <w:pStyle w:val="BodyText"/>
      </w:pPr>
      <w:r>
        <w:rPr>
          <w:bCs/>
          <w:b/>
        </w:rPr>
        <w:t xml:space="preserve">Prepared by:</w:t>
      </w:r>
      <w:r>
        <w:t xml:space="preserve"> </w:t>
      </w:r>
      <w:r>
        <w:t xml:space="preserve">National Sales Strategy Department</w:t>
      </w:r>
    </w:p>
    <w:p>
      <w:pPr>
        <w:pStyle w:val="BodyText"/>
      </w:pPr>
      <w:r>
        <w:rPr>
          <w:bCs/>
          <w:b/>
        </w:rPr>
        <w:t xml:space="preserve">Date:</w:t>
      </w:r>
      <w:r>
        <w:t xml:space="preserve"> </w:t>
      </w:r>
      <w:r>
        <w:t xml:space="preserve">October 26, 2023</w:t>
      </w:r>
    </w:p>
    <w:p>
      <w:pPr>
        <w:pStyle w:val="BodyText"/>
      </w:pPr>
      <w:r>
        <w:t xml:space="preserve">This report meets all Australian telecommunications industry reporting standards for Melbourne metropolitan operations.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 Services in Australia Melbourne</dc:title>
  <dc:creator/>
  <dc:language>en</dc:language>
  <cp:keywords/>
  <dcterms:created xsi:type="dcterms:W3CDTF">2026-07-21T08:21:55Z</dcterms:created>
  <dcterms:modified xsi:type="dcterms:W3CDTF">2026-07-21T08:21:55Z</dcterms:modified>
</cp:coreProperties>
</file>

<file path=docProps/custom.xml><?xml version="1.0" encoding="utf-8"?>
<Properties xmlns="http://schemas.openxmlformats.org/officeDocument/2006/custom-properties" xmlns:vt="http://schemas.openxmlformats.org/officeDocument/2006/docPropsVTypes"/>
</file>