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Israel</w:t>
      </w:r>
      <w:r>
        <w:t xml:space="preserve"> </w:t>
      </w:r>
      <w:r>
        <w:t xml:space="preserve">Tel</w:t>
      </w:r>
      <w:r>
        <w:t xml:space="preserve"> </w:t>
      </w:r>
      <w:r>
        <w:t xml:space="preserve">Aviv</w:t>
      </w:r>
    </w:p>
    <w:bookmarkStart w:id="27" w:name="X64211e49d6cafa12eacdcf8f5ea52a1dd0c3fcf"/>
    <w:p>
      <w:pPr>
        <w:pStyle w:val="Heading1"/>
      </w:pPr>
      <w:r>
        <w:t xml:space="preserve">Comprehensive Sales Report: Telecommunication Engineering Excellence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Global Telecom Division</w:t>
      </w:r>
      <w:r>
        <w:br/>
      </w:r>
      <w:r>
        <w:rPr>
          <w:bCs/>
          <w:b/>
        </w:rPr>
        <w:t xml:space="preserve">Prepared By:</w:t>
      </w:r>
      <w:r>
        <w:t xml:space="preserve"> </w:t>
      </w:r>
      <w:r>
        <w:t xml:space="preserve">Sales Intelligence Unit, Tel Aviv Operations Center</w:t>
      </w:r>
    </w:p>
    <w:bookmarkStart w:id="20" w:name="i.-executive-summary"/>
    <w:p>
      <w:pPr>
        <w:pStyle w:val="Heading2"/>
      </w:pPr>
      <w:r>
        <w:t xml:space="preserve">I. Executive Summary</w:t>
      </w:r>
    </w:p>
    <w:p>
      <w:pPr>
        <w:pStyle w:val="FirstParagraph"/>
      </w:pPr>
      <w:r>
        <w:t xml:space="preserve">This Sales Report details the exceptional performance of our Telecommunication Engineering services across Israel's premier business hub—Tel Aviv. Demonstrating a 34% year-over-year growth in enterprise solutions, our team in Tel Aviv has solidified its position as the regional sales powerhouse for next-generation telecom infrastructure. The integration of cutting-edge Telecommunication Engineer expertise directly correlates with our 2023 revenue surge, validating our strategic investment in local talent development within Israel's dynamic tech ecosystem.</w:t>
      </w:r>
    </w:p>
    <w:bookmarkEnd w:id="20"/>
    <w:bookmarkStart w:id="21" w:name="X0f457bcfaea4b371bc60e6f690efa730d081323"/>
    <w:p>
      <w:pPr>
        <w:pStyle w:val="Heading2"/>
      </w:pPr>
      <w:r>
        <w:t xml:space="preserve">II. Market Context: Tel Aviv as Israel's Telecom Nexus</w:t>
      </w:r>
    </w:p>
    <w:p>
      <w:pPr>
        <w:pStyle w:val="FirstParagraph"/>
      </w:pPr>
      <w:r>
        <w:t xml:space="preserve">Israel Tel Aviv functions as the undisputed nerve center for telecommunications innovation in the Middle East. Home to 70% of Israel’s tech enterprises and hosting global HQs for companies like Mobileye, Waze, and leading telecom infrastructure providers, this city demands engineering excellence that meets international standards while adapting to local regulatory frameworks (ICRA - Israel Communications Authority). Our Sales Report confirms that clients in Tel Aviv specifically prioritize vendors with on-ground Telecommunication Engineer capabilities—demanding rapid deployment cycles and real-time problem resolution impossible through offshore teams.</w:t>
      </w:r>
    </w:p>
    <w:bookmarkEnd w:id="21"/>
    <w:bookmarkStart w:id="22" w:name="Xcc459587b4b2c27b4b319ce211d59c72631be67"/>
    <w:p>
      <w:pPr>
        <w:pStyle w:val="Heading2"/>
      </w:pPr>
      <w:r>
        <w:t xml:space="preserve">III. Sales Performance Highlights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Target Met</w:t>
            </w:r>
          </w:p>
        </w:tc>
      </w:tr>
      <w:tr>
        <w:tc>
          <w:tcPr/>
          <w:p>
            <w:pPr>
              <w:pStyle w:val="Compact"/>
              <w:jc w:val="left"/>
            </w:pPr>
            <w:r>
              <w:t xml:space="preserve">Total Revenue (ILS)</w:t>
            </w:r>
          </w:p>
        </w:tc>
        <w:tc>
          <w:tcPr/>
          <w:p>
            <w:pPr>
              <w:pStyle w:val="Compact"/>
              <w:jc w:val="left"/>
            </w:pPr>
            <w:r>
              <w:t xml:space="preserve">18.7M</w:t>
            </w:r>
          </w:p>
        </w:tc>
        <w:tc>
          <w:tcPr/>
          <w:p>
            <w:pPr>
              <w:pStyle w:val="Compact"/>
              <w:jc w:val="left"/>
            </w:pPr>
            <w:r>
              <w:t xml:space="preserve">+34%</w:t>
            </w:r>
          </w:p>
        </w:tc>
        <w:tc>
          <w:tcPr/>
          <w:p>
            <w:pPr>
              <w:pStyle w:val="Compact"/>
              <w:jc w:val="left"/>
            </w:pPr>
            <w:r>
              <w:t xml:space="preserve">122%</w:t>
            </w:r>
          </w:p>
        </w:tc>
      </w:tr>
      <w:tr>
        <w:tc>
          <w:tcPr/>
          <w:p>
            <w:pPr>
              <w:pStyle w:val="Compact"/>
              <w:jc w:val="left"/>
            </w:pPr>
            <w:r>
              <w:t xml:space="preserve">New Enterprise Contracts</w:t>
            </w:r>
          </w:p>
        </w:tc>
        <w:tc>
          <w:tcPr/>
          <w:p>
            <w:pPr>
              <w:pStyle w:val="Compact"/>
              <w:jc w:val="left"/>
            </w:pPr>
            <w:r>
              <w:t xml:space="preserve">17</w:t>
            </w:r>
          </w:p>
        </w:tc>
        <w:tc>
          <w:tcPr/>
          <w:p>
            <w:pPr>
              <w:pStyle w:val="Compact"/>
              <w:jc w:val="left"/>
            </w:pPr>
            <w:r>
              <w:t xml:space="preserve">+48%</w:t>
            </w:r>
          </w:p>
        </w:tc>
        <w:tc>
          <w:tcPr/>
          <w:p>
            <w:pPr>
              <w:pStyle w:val="Compact"/>
            </w:pPr>
          </w:p>
        </w:tc>
      </w:tr>
      <w:tr>
        <w:tc>
          <w:tcPr/>
          <w:p>
            <w:pPr>
              <w:pStyle w:val="Compact"/>
              <w:jc w:val="left"/>
            </w:pPr>
            <w:r>
              <w:t xml:space="preserve">Customer Retention Rate (Tel Aviv)</w:t>
            </w:r>
          </w:p>
        </w:tc>
        <w:tc>
          <w:tcPr/>
          <w:p>
            <w:pPr>
              <w:pStyle w:val="Compact"/>
              <w:jc w:val="left"/>
            </w:pPr>
            <w:r>
              <w:t xml:space="preserve">96.3%</w:t>
            </w:r>
          </w:p>
        </w:tc>
        <w:tc>
          <w:tcPr/>
          <w:p>
            <w:pPr>
              <w:pStyle w:val="Compact"/>
              <w:jc w:val="left"/>
            </w:pPr>
            <w:r>
              <w:t xml:space="preserve">+8.2pts</w:t>
            </w:r>
          </w:p>
        </w:tc>
        <w:tc>
          <w:tcPr/>
          <w:p>
            <w:pPr>
              <w:pStyle w:val="Compact"/>
            </w:pPr>
          </w:p>
        </w:tc>
      </w:tr>
    </w:tbl>
    <w:p>
      <w:pPr>
        <w:pStyle w:val="BodyText"/>
      </w:pPr>
      <w:r>
        <w:t xml:space="preserve">The Tel Aviv sales pipeline now exceeds $24M in qualified opportunities, with 78% attributed directly to strategic engagements led by our certified Telecommunication Engineers. Notable wins include:</w:t>
      </w:r>
    </w:p>
    <w:p>
      <w:pPr>
        <w:numPr>
          <w:ilvl w:val="0"/>
          <w:numId w:val="1001"/>
        </w:numPr>
        <w:pStyle w:val="Compact"/>
      </w:pPr>
      <w:r>
        <w:rPr>
          <w:bCs/>
          <w:b/>
        </w:rPr>
        <w:t xml:space="preserve">Bezeq International</w:t>
      </w:r>
      <w:r>
        <w:t xml:space="preserve">: $3.2M contract for 5G backhaul optimization across Tel Aviv’s central business district (completed in 11 weeks vs. industry average of 18)</w:t>
      </w:r>
    </w:p>
    <w:p>
      <w:pPr>
        <w:numPr>
          <w:ilvl w:val="0"/>
          <w:numId w:val="1001"/>
        </w:numPr>
        <w:pStyle w:val="Compact"/>
      </w:pPr>
      <w:r>
        <w:rPr>
          <w:bCs/>
          <w:b/>
        </w:rPr>
        <w:t xml:space="preserve">Israel Defense Forces (IDF) Secure Networks</w:t>
      </w:r>
      <w:r>
        <w:t xml:space="preserve">: $4.7M managed services deal featuring custom satellite-terrestrial hybrid infrastructure designed by our Tel Aviv-based Telecommunication Engineer team</w:t>
      </w:r>
    </w:p>
    <w:p>
      <w:pPr>
        <w:numPr>
          <w:ilvl w:val="0"/>
          <w:numId w:val="1001"/>
        </w:numPr>
        <w:pStyle w:val="Compact"/>
      </w:pPr>
      <w:r>
        <w:rPr>
          <w:bCs/>
          <w:b/>
        </w:rPr>
        <w:t xml:space="preserve">Bank Hapoalim's IoT Expansion</w:t>
      </w:r>
      <w:r>
        <w:t xml:space="preserve">: $1.9M implementation of low-latency communication networks for 300+ ATMs nationwide, with Tel Aviv engineers overseeing critical phase 1 deployment</w:t>
      </w:r>
    </w:p>
    <w:bookmarkEnd w:id="22"/>
    <w:bookmarkStart w:id="23" w:name="Xfc1409802b2314c2ce4671f6c3310f8a104a1fb"/>
    <w:p>
      <w:pPr>
        <w:pStyle w:val="Heading2"/>
      </w:pPr>
      <w:r>
        <w:t xml:space="preserve">IV. The Telecommunication Engineer as Sales Catalyst</w:t>
      </w:r>
    </w:p>
    <w:p>
      <w:pPr>
        <w:pStyle w:val="FirstParagraph"/>
      </w:pPr>
      <w:r>
        <w:t xml:space="preserve">In Israel Tel Aviv, our Sales Report reveals a paradigm shift: the Telecommunication Engineer is no longer a support function but the primary revenue driver. This is evidenced by:</w:t>
      </w:r>
    </w:p>
    <w:p>
      <w:pPr>
        <w:numPr>
          <w:ilvl w:val="0"/>
          <w:numId w:val="1002"/>
        </w:numPr>
        <w:pStyle w:val="Compact"/>
      </w:pPr>
      <w:r>
        <w:rPr>
          <w:bCs/>
          <w:b/>
        </w:rPr>
        <w:t xml:space="preserve">Technical Consultation Conversion</w:t>
      </w:r>
      <w:r>
        <w:t xml:space="preserve">: 68% of new clients (vs. industry avg. 41%) first engaged through direct technical workshops hosted by our Tel Aviv engineers, addressing Israel-specific challenges like urban signal interference and spectrum allocation complexities.</w:t>
      </w:r>
    </w:p>
    <w:p>
      <w:pPr>
        <w:numPr>
          <w:ilvl w:val="0"/>
          <w:numId w:val="1002"/>
        </w:numPr>
        <w:pStyle w:val="Compact"/>
      </w:pPr>
      <w:r>
        <w:rPr>
          <w:bCs/>
          <w:b/>
        </w:rPr>
        <w:t xml:space="preserve">Regulatory Navigation</w:t>
      </w:r>
      <w:r>
        <w:t xml:space="preserve">: Engineers certified in ICRA requirements reduced contract approval timelines by 52%—a critical factor for Israeli enterprises navigating tight compliance windows.</w:t>
      </w:r>
    </w:p>
    <w:p>
      <w:pPr>
        <w:numPr>
          <w:ilvl w:val="0"/>
          <w:numId w:val="1002"/>
        </w:numPr>
        <w:pStyle w:val="Compact"/>
      </w:pPr>
      <w:r>
        <w:rPr>
          <w:bCs/>
          <w:b/>
        </w:rPr>
        <w:t xml:space="preserve">Solution Customization</w:t>
      </w:r>
      <w:r>
        <w:t xml:space="preserve">: Our Tel Aviv team’s understanding of local infrastructure (e.g., aging municipal networks in historic neighborhoods) enabled 92% of projects to exceed client SLAs through tailored engineering approaches.</w:t>
      </w:r>
    </w:p>
    <w:bookmarkEnd w:id="23"/>
    <w:bookmarkStart w:id="24" w:name="Xd1f721e11f946e22e29a6bc068168e5ece35ef5"/>
    <w:p>
      <w:pPr>
        <w:pStyle w:val="Heading2"/>
      </w:pPr>
      <w:r>
        <w:t xml:space="preserve">V. Israel Tel Aviv Market Dynamics Analysis</w:t>
      </w:r>
    </w:p>
    <w:p>
      <w:pPr>
        <w:pStyle w:val="FirstParagraph"/>
      </w:pPr>
      <w:r>
        <w:t xml:space="preserve">Our regional sales intelligence indicates three critical trends shaping the Tel Aviv telecom landscape:</w:t>
      </w:r>
    </w:p>
    <w:p>
      <w:pPr>
        <w:numPr>
          <w:ilvl w:val="0"/>
          <w:numId w:val="1003"/>
        </w:numPr>
        <w:pStyle w:val="Compact"/>
      </w:pPr>
      <w:r>
        <w:rPr>
          <w:bCs/>
          <w:b/>
        </w:rPr>
        <w:t xml:space="preserve">5G Commercialization Acceleration</w:t>
      </w:r>
      <w:r>
        <w:t xml:space="preserve">: With Israeli carriers investing $1.4B in 5G infrastructure (2023), demand for Telecommunication Engineers with NSP (Network Service Provider) certification has surged 178% YoY in Tel Aviv.</w:t>
      </w:r>
    </w:p>
    <w:p>
      <w:pPr>
        <w:numPr>
          <w:ilvl w:val="0"/>
          <w:numId w:val="1003"/>
        </w:numPr>
        <w:pStyle w:val="Compact"/>
      </w:pPr>
      <w:r>
        <w:rPr>
          <w:bCs/>
          <w:b/>
        </w:rPr>
        <w:t xml:space="preserve">Government-Driven Digital Transformation</w:t>
      </w:r>
      <w:r>
        <w:t xml:space="preserve">: The Israeli Ministry of Communications’ "Digital Israel 2030" initiative is creating $9.6B in public-sector opportunities, with Tel Aviv-based vendors winning 89% of bids requiring on-site engineering oversight.</w:t>
      </w:r>
    </w:p>
    <w:p>
      <w:pPr>
        <w:numPr>
          <w:ilvl w:val="0"/>
          <w:numId w:val="1003"/>
        </w:numPr>
        <w:pStyle w:val="Compact"/>
      </w:pPr>
      <w:r>
        <w:rPr>
          <w:bCs/>
          <w:b/>
        </w:rPr>
        <w:t xml:space="preserve">Tel Aviv's Talent Ecosystem Advantage</w:t>
      </w:r>
      <w:r>
        <w:t xml:space="preserve">: Proximity to Technion and Tel Aviv University provides our Sales Report with a competitive edge—73% of new Telecommunication Engineers hired in Q3 were recruited directly from these institutions, ensuring rapid adaptation to local market nuances.</w:t>
      </w:r>
    </w:p>
    <w:bookmarkEnd w:id="24"/>
    <w:bookmarkStart w:id="25" w:name="vi.-strategic-recommendations-for-growth"/>
    <w:p>
      <w:pPr>
        <w:pStyle w:val="Heading2"/>
      </w:pPr>
      <w:r>
        <w:t xml:space="preserve">VI. Strategic Recommendations for Growth</w:t>
      </w:r>
    </w:p>
    <w:p>
      <w:pPr>
        <w:pStyle w:val="FirstParagraph"/>
      </w:pPr>
      <w:r>
        <w:t xml:space="preserve">Based on 18 months of Tel Aviv sales data, we propose three initiatives to capitalize on our Telecommunication Engineer advantage:</w:t>
      </w:r>
    </w:p>
    <w:p>
      <w:pPr>
        <w:numPr>
          <w:ilvl w:val="0"/>
          <w:numId w:val="1004"/>
        </w:numPr>
        <w:pStyle w:val="Compact"/>
      </w:pPr>
      <w:r>
        <w:rPr>
          <w:bCs/>
          <w:b/>
        </w:rPr>
        <w:t xml:space="preserve">Establish Tel Aviv Innovation Hub</w:t>
      </w:r>
      <w:r>
        <w:t xml:space="preserve">: Allocate $500K to create a dedicated R&amp;D lab focused on Israel-specific challenges (e.g., high-density urban coverage, desert network resilience). This aligns with our Sales Report data showing 63% of enterprise clients prioritize vendors with localized innovation capabilities.</w:t>
      </w:r>
    </w:p>
    <w:p>
      <w:pPr>
        <w:numPr>
          <w:ilvl w:val="0"/>
          <w:numId w:val="1004"/>
        </w:numPr>
        <w:pStyle w:val="Compact"/>
      </w:pPr>
      <w:r>
        <w:rPr>
          <w:bCs/>
          <w:b/>
        </w:rPr>
        <w:t xml:space="preserve">Engineer Certification Pathway</w:t>
      </w:r>
      <w:r>
        <w:t xml:space="preserve">: Implement mandatory ICRA certification for all Tel Aviv-based Telecommunication Engineers by Q2 2024, directly addressing the market’s demand for legally compliant technical leadership (validated by our 37% client retention increase after engineer certifications).</w:t>
      </w:r>
    </w:p>
    <w:p>
      <w:pPr>
        <w:numPr>
          <w:ilvl w:val="0"/>
          <w:numId w:val="1004"/>
        </w:numPr>
        <w:pStyle w:val="Compact"/>
      </w:pPr>
      <w:r>
        <w:rPr>
          <w:bCs/>
          <w:b/>
        </w:rPr>
        <w:t xml:space="preserve">Tel Aviv Enterprise Sales Accelerator</w:t>
      </w:r>
      <w:r>
        <w:t xml:space="preserve">: Deploy a specialized team of Senior Telecommunication Engineers to prospect in high-growth sectors—fintech (Tel Aviv hosts 45% of Israel’s fintech unicorns), healthcare IoT, and smart city infrastructure—targeting $12M in new pipeline within 18 months.</w:t>
      </w:r>
    </w:p>
    <w:bookmarkEnd w:id="25"/>
    <w:bookmarkStart w:id="26" w:name="vii.-conclusion-the-tel-aviv-advantage"/>
    <w:p>
      <w:pPr>
        <w:pStyle w:val="Heading2"/>
      </w:pPr>
      <w:r>
        <w:t xml:space="preserve">VII. Conclusion: The Tel Aviv Advantage</w:t>
      </w:r>
    </w:p>
    <w:p>
      <w:pPr>
        <w:pStyle w:val="FirstParagraph"/>
      </w:pPr>
      <w:r>
        <w:t xml:space="preserve">This Sales Report unequivocally demonstrates that for telecom vendors operating in Israel, success is inseparable from a robust presence of skilled Telecommunication Engineers rooted in Tel Aviv. Our data shows that every $1 invested in local engineering talent generates $3.80 in revenue within 18 months—outperforming other regional markets by 27%. As Israel’s digital economy expands at 9% annually, the strategic imperative for enterprises to anchor their telecom sales operations in Tel Aviv is no longer optional but essential.</w:t>
      </w:r>
    </w:p>
    <w:p>
      <w:pPr>
        <w:pStyle w:val="BodyText"/>
      </w:pPr>
      <w:r>
        <w:t xml:space="preserve">With our current Tel Aviv Telecommunication Engineer team achieving an unprecedented 96.3% client retention rate and driving record-breaking sales velocity, we project continued leadership in Israel’s $4.2B telecom market. We recommend doubling down on this model to capture the next wave of government digitalization projects and enterprise 5G adoption across Israel Tel Aviv.</w:t>
      </w:r>
    </w:p>
    <w:p>
      <w:pPr>
        <w:pStyle w:val="BodyText"/>
      </w:pPr>
      <w:r>
        <w:rPr>
          <w:bCs/>
          <w:b/>
        </w:rPr>
        <w:t xml:space="preserve">Appendix: Key Performance Indicators</w:t>
      </w:r>
    </w:p>
    <w:p>
      <w:pPr>
        <w:numPr>
          <w:ilvl w:val="0"/>
          <w:numId w:val="1005"/>
        </w:numPr>
        <w:pStyle w:val="Compact"/>
      </w:pPr>
      <w:r>
        <w:t xml:space="preserve">Engineering Team Size in Tel Aviv: 47 certified professionals (+29% YoY)</w:t>
      </w:r>
    </w:p>
    <w:p>
      <w:pPr>
        <w:numPr>
          <w:ilvl w:val="0"/>
          <w:numId w:val="1005"/>
        </w:numPr>
        <w:pStyle w:val="Compact"/>
      </w:pPr>
      <w:r>
        <w:t xml:space="preserve">Client Satisfaction Score (NPS): +82 (Industry Avg.: +51)</w:t>
      </w:r>
    </w:p>
    <w:p>
      <w:pPr>
        <w:numPr>
          <w:ilvl w:val="0"/>
          <w:numId w:val="1005"/>
        </w:numPr>
        <w:pStyle w:val="Compact"/>
      </w:pPr>
      <w:r>
        <w:t xml:space="preserve">Project Completion Rate in Tel Aviv: 98.6% (vs. global average of 86.4%)</w:t>
      </w:r>
    </w:p>
    <w:p>
      <w:pPr>
        <w:pStyle w:val="FirstParagraph"/>
      </w:pPr>
      <w:r>
        <w:rPr>
          <w:iCs/>
          <w:i/>
        </w:rPr>
        <w:t xml:space="preserve">"In the heart of Israel Tel Aviv, our Telecommunication Engineers aren't just deploying networks—they're architecting the future of connectivity that fuels Israel's digital economy."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Engineering Sales Report - Israel Tel Aviv</dc:title>
  <dc:creator/>
  <dc:language>en</dc:language>
  <cp:keywords/>
  <dcterms:created xsi:type="dcterms:W3CDTF">2026-07-23T13:23:16Z</dcterms:created>
  <dcterms:modified xsi:type="dcterms:W3CDTF">2026-07-23T13:23:16Z</dcterms:modified>
</cp:coreProperties>
</file>

<file path=docProps/custom.xml><?xml version="1.0" encoding="utf-8"?>
<Properties xmlns="http://schemas.openxmlformats.org/officeDocument/2006/custom-properties" xmlns:vt="http://schemas.openxmlformats.org/officeDocument/2006/docPropsVTypes"/>
</file>