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Kyoto</w:t>
      </w:r>
    </w:p>
    <w:bookmarkStart w:id="27" w:name="X59945fa26592e24b3fe3f7d621254f6e1789c5a"/>
    <w:p>
      <w:pPr>
        <w:pStyle w:val="Heading1"/>
      </w:pPr>
      <w:r>
        <w:t xml:space="preserve">Sales Report: Telecommunication Engineer Performance and Market Analysis for Japan Kyoto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Tokyo Headquarters</w:t>
      </w:r>
      <w:r>
        <w:br/>
      </w:r>
      <w:r>
        <w:rPr>
          <w:bCs/>
          <w:b/>
        </w:rPr>
        <w:t xml:space="preserve">Prepared By:</w:t>
      </w:r>
      <w:r>
        <w:t xml:space="preserve"> </w:t>
      </w:r>
      <w:r>
        <w:t xml:space="preserve">Regional Sales Strategy Division, Kyoto Office</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strategic positioning of our Telecommunication Engineer team operating within Japan Kyoto. The report confirms a 17% year-over-year growth in service revenue for the fiscal quarter ending September 30, 2023, driven by targeted infrastructure upgrades across Kyoto's smart city initiatives. As the leading provider of advanced telecommunication solutions in Kyoto, our Telecommunication Engineer division has demonstrated exceptional market penetration while navigating unique regional challenges. This document underscores how specialized technical expertise directly correlates with sales success in Japan's most culturally nuanced metropolitan environment.</w:t>
      </w:r>
    </w:p>
    <w:bookmarkEnd w:id="20"/>
    <w:bookmarkStart w:id="21" w:name="X5999df4df95423bc1ccc650aa39c8e920206643"/>
    <w:p>
      <w:pPr>
        <w:pStyle w:val="Heading2"/>
      </w:pPr>
      <w:r>
        <w:t xml:space="preserve">II. Market Context: Japan Kyoto Telecommunications Landscape</w:t>
      </w:r>
    </w:p>
    <w:p>
      <w:pPr>
        <w:pStyle w:val="FirstParagraph"/>
      </w:pPr>
      <w:r>
        <w:t xml:space="preserve">Kyoto represents a critical market for telecommunications innovation in Japan, blending ancient cultural preservation with cutting-edge technology demands. With 1.47 million residents and 60+ UNESCO World Heritage sites requiring non-intrusive network solutions, our Telecommunication Engineer team faces distinctive operational parameters. The Kyoto Prefectural Government's "Smart City Initiative 2030" has created unprecedented demand for fiber-optic networks, IoT integration, and 5G small cell deployments—particularly in historic districts where traditional installation methods would violate preservation ordinances. This market segment demands engineers with dual expertise in telecommunications technology and Japanese cultural sensitivity.</w:t>
      </w:r>
    </w:p>
    <w:p>
      <w:pPr>
        <w:pStyle w:val="BodyText"/>
      </w:pPr>
      <w:r>
        <w:t xml:space="preserve">Current market analysis reveals that Kyoto's telecommunications sector grew at 9.2% CAGR (2019-2023), significantly outperforming Japan's national average of 6.8%. Our Telecommunication Engineer team captured 34% market share in the premium enterprise segment, primarily through strategic partnerships with Kyoto-based heritage institutions like Kinkaku-ji Temple and Gion district businesses. This success directly stems from our engineers' ability to customize solutions without compromising Kyoto's architectural integrity—a capability absent in national competitors.</w:t>
      </w:r>
    </w:p>
    <w:bookmarkEnd w:id="21"/>
    <w:bookmarkStart w:id="22" w:name="Xe0e567c197b1b7338736821f2280aac5ac17654"/>
    <w:p>
      <w:pPr>
        <w:pStyle w:val="Heading2"/>
      </w:pPr>
      <w:r>
        <w:t xml:space="preserve">III. Telecommunication Engineer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(JPY)</w:t>
            </w:r>
          </w:p>
        </w:tc>
        <w:tc>
          <w:tcPr/>
          <w:p>
            <w:pPr>
              <w:pStyle w:val="Compact"/>
              <w:jc w:val="left"/>
            </w:pPr>
            <w:r>
              <w:t xml:space="preserve">% Growth vs Q3 2022</w:t>
            </w:r>
          </w:p>
        </w:tc>
        <w:tc>
          <w:tcPr/>
          <w:p>
            <w:pPr>
              <w:pStyle w:val="Compact"/>
              <w:jc w:val="left"/>
            </w:pPr>
            <w:r>
              <w:t xml:space="preserve">Key Client Projects</w:t>
            </w:r>
          </w:p>
        </w:tc>
      </w:tr>
      <w:tr>
        <w:tc>
          <w:tcPr/>
          <w:p>
            <w:pPr>
              <w:pStyle w:val="Compact"/>
              <w:jc w:val="left"/>
            </w:pPr>
            <w:r>
              <w:t xml:space="preserve">Precision Fiber-Optic Network Deployment</w:t>
            </w:r>
          </w:p>
        </w:tc>
        <w:tc>
          <w:tcPr/>
          <w:p>
            <w:pPr>
              <w:pStyle w:val="Compact"/>
              <w:jc w:val="left"/>
            </w:pPr>
            <w:r>
              <w:t xml:space="preserve">¥87.4M</w:t>
            </w:r>
          </w:p>
        </w:tc>
        <w:tc>
          <w:tcPr/>
          <w:p>
            <w:pPr>
              <w:pStyle w:val="Compact"/>
              <w:jc w:val="left"/>
            </w:pPr>
            <w:r>
              <w:t xml:space="preserve">+23%</w:t>
            </w:r>
          </w:p>
        </w:tc>
        <w:tc>
          <w:tcPr/>
          <w:p>
            <w:pPr>
              <w:pStyle w:val="Compact"/>
              <w:jc w:val="left"/>
            </w:pPr>
            <w:r>
              <w:t xml:space="preserve">Kyoto Imperial Palace Heritage Preservation Project</w:t>
            </w:r>
          </w:p>
        </w:tc>
      </w:tr>
      <w:tr>
        <w:tc>
          <w:tcPr/>
          <w:p>
            <w:pPr>
              <w:pStyle w:val="Compact"/>
              <w:jc w:val="left"/>
            </w:pPr>
            <w:r>
              <w:t xml:space="preserve">5G Small Cell Integration (Historic Districts)</w:t>
            </w:r>
          </w:p>
        </w:tc>
        <w:tc>
          <w:tcPr/>
          <w:p>
            <w:pPr>
              <w:pStyle w:val="Compact"/>
              <w:jc w:val="left"/>
            </w:pPr>
            <w:r>
              <w:t xml:space="preserve">¥62.1M</w:t>
            </w:r>
          </w:p>
        </w:tc>
        <w:tc>
          <w:tcPr/>
          <w:p>
            <w:pPr>
              <w:pStyle w:val="Compact"/>
              <w:jc w:val="left"/>
            </w:pPr>
            <w:r>
              <w:t xml:space="preserve">+18%</w:t>
            </w:r>
          </w:p>
        </w:tc>
        <w:tc>
          <w:tcPr/>
          <w:p>
            <w:pPr>
              <w:pStyle w:val="Compact"/>
              <w:jc w:val="left"/>
            </w:pPr>
            <w:r>
              <w:t xml:space="preserve">Gion Machiya Business Association Network Upgrade</w:t>
            </w:r>
          </w:p>
        </w:tc>
      </w:tr>
      <w:tr>
        <w:tc>
          <w:tcPr/>
          <w:p>
            <w:pPr>
              <w:pStyle w:val="Compact"/>
              <w:jc w:val="left"/>
            </w:pPr>
            <w:r>
              <w:t xml:space="preserve">IoT Environmental Monitoring Systems</w:t>
            </w:r>
          </w:p>
        </w:tc>
        <w:tc>
          <w:tcPr/>
          <w:p>
            <w:pPr>
              <w:pStyle w:val="Compact"/>
              <w:jc w:val="left"/>
            </w:pPr>
            <w:r>
              <w:t xml:space="preserve">¥39.7M</w:t>
            </w:r>
          </w:p>
        </w:tc>
        <w:tc>
          <w:tcPr/>
          <w:p>
            <w:pPr>
              <w:pStyle w:val="Compact"/>
              <w:jc w:val="left"/>
            </w:pPr>
            <w:r>
              <w:t xml:space="preserve">+32%</w:t>
            </w:r>
          </w:p>
        </w:tc>
        <w:tc>
          <w:tcPr/>
          <w:p>
            <w:pPr>
              <w:pStyle w:val="Compact"/>
              <w:jc w:val="left"/>
            </w:pPr>
            <w:r>
              <w:t xml:space="preserve">Kyoto City Environmental Management Consortium</w:t>
            </w:r>
          </w:p>
        </w:tc>
      </w:tr>
      <w:tr>
        <w:tc>
          <w:tcPr/>
          <w:p>
            <w:pPr>
              <w:pStyle w:val="Compact"/>
              <w:jc w:val="left"/>
            </w:pPr>
            <w:r>
              <w:rPr>
                <w:bCs/>
                <w:b/>
              </w:rPr>
              <w:t xml:space="preserve">Total Telecommunication Engineer Services Revenue</w:t>
            </w:r>
          </w:p>
        </w:tc>
        <w:tc>
          <w:tcPr/>
          <w:p>
            <w:pPr>
              <w:pStyle w:val="Compact"/>
              <w:jc w:val="left"/>
            </w:pPr>
            <w:r>
              <w:rPr>
                <w:bCs/>
                <w:b/>
              </w:rPr>
              <w:t xml:space="preserve">¥189.2M</w:t>
            </w:r>
          </w:p>
        </w:tc>
        <w:tc>
          <w:tcPr/>
          <w:p>
            <w:pPr>
              <w:pStyle w:val="Compact"/>
              <w:jc w:val="left"/>
            </w:pPr>
            <w:r>
              <w:rPr>
                <w:bCs/>
                <w:b/>
              </w:rPr>
              <w:t xml:space="preserve">+21% YoY</w:t>
            </w:r>
          </w:p>
        </w:tc>
        <w:tc>
          <w:tcPr/>
          <w:p>
            <w:pPr>
              <w:pStyle w:val="Compact"/>
              <w:jc w:val="left"/>
            </w:pPr>
            <w:r>
              <w:t xml:space="preserve"> </w:t>
            </w:r>
          </w:p>
        </w:tc>
      </w:tr>
    </w:tbl>
    <w:p>
      <w:pPr>
        <w:pStyle w:val="BodyText"/>
      </w:pPr>
      <w:r>
        <w:t xml:space="preserve">The 21% revenue growth directly correlates with our Telecommunication Engineer team's specialized approach to Kyoto's unique constraints. For instance, the Gion Machiya project required engineers to install microcell technology within traditional wooden structures using non-invasive techniques—a solution only our Kyoto-based team could deliver. This resulted in a 45% premium pricing structure versus national averages, significantly boosting profit margins while securing long-term client relationships.</w:t>
      </w:r>
    </w:p>
    <w:bookmarkEnd w:id="22"/>
    <w:bookmarkStart w:id="23" w:name="Xc18b4eaae820a4e3f996c31b9e2b4989f6c337a"/>
    <w:p>
      <w:pPr>
        <w:pStyle w:val="Heading2"/>
      </w:pPr>
      <w:r>
        <w:t xml:space="preserve">IV. Critical Success Factors: Why Our Telecommunication Engineers Excel in Japan Kyoto</w:t>
      </w:r>
    </w:p>
    <w:p>
      <w:pPr>
        <w:pStyle w:val="FirstParagraph"/>
      </w:pPr>
      <w:r>
        <w:t xml:space="preserve">The sales performance cannot be attributed to technical capability alone. Three distinct advantages differentiate our Telecommunication Engineer team:</w:t>
      </w:r>
    </w:p>
    <w:p>
      <w:pPr>
        <w:numPr>
          <w:ilvl w:val="0"/>
          <w:numId w:val="1001"/>
        </w:numPr>
        <w:pStyle w:val="Compact"/>
      </w:pPr>
      <w:r>
        <w:rPr>
          <w:bCs/>
          <w:b/>
        </w:rPr>
        <w:t xml:space="preserve">Cultural Integration Protocol:</w:t>
      </w:r>
      <w:r>
        <w:t xml:space="preserve"> </w:t>
      </w:r>
      <w:r>
        <w:t xml:space="preserve">All engineers undergo mandatory "Kyoto Business Etiquette Certification" covering bowing protocols, kimono-appropriate conduct at cultural sites, and historical context of preservation zones—ensuring seamless client interactions with Kyoto's traditional business community.</w:t>
      </w:r>
    </w:p>
    <w:p>
      <w:pPr>
        <w:numPr>
          <w:ilvl w:val="0"/>
          <w:numId w:val="1001"/>
        </w:numPr>
        <w:pStyle w:val="Compact"/>
      </w:pPr>
      <w:r>
        <w:rPr>
          <w:bCs/>
          <w:b/>
        </w:rPr>
        <w:t xml:space="preserve">Local Regulatory Navigation:</w:t>
      </w:r>
      <w:r>
        <w:t xml:space="preserve"> </w:t>
      </w:r>
      <w:r>
        <w:t xml:space="preserve">Our engineers maintain direct liaison relationships with Kyoto City Planning Department (Kamigyo Ward Office), enabling 30% faster permit approvals than industry average for heritage-sensitive installations.</w:t>
      </w:r>
    </w:p>
    <w:p>
      <w:pPr>
        <w:numPr>
          <w:ilvl w:val="0"/>
          <w:numId w:val="1001"/>
        </w:numPr>
        <w:pStyle w:val="Compact"/>
      </w:pPr>
      <w:r>
        <w:rPr>
          <w:bCs/>
          <w:b/>
        </w:rPr>
        <w:t xml:space="preserve">Technology-Cultural Synergy:</w:t>
      </w:r>
      <w:r>
        <w:t xml:space="preserve"> </w:t>
      </w:r>
      <w:r>
        <w:t xml:space="preserve">The team's signature "Harmony Integration Methodology" designs networks that visually harmonize with traditional aesthetics (e.g., disguised conduits mimicking wooden lattice patterns), directly addressing client concerns about visual pollution in historic districts.</w:t>
      </w:r>
    </w:p>
    <w:p>
      <w:pPr>
        <w:pStyle w:val="FirstParagraph"/>
      </w:pPr>
      <w:r>
        <w:t xml:space="preserve">This approach generated a 94% client retention rate among Kyoto cultural institutions versus the industry average of 72%, translating to premium pricing and referral-based sales growth. Notably, 68% of Q3 revenue originated from repeat clients—a testament to our Telecommunication Engineer team's ability to build trust beyond technical execution.</w:t>
      </w:r>
    </w:p>
    <w:bookmarkEnd w:id="23"/>
    <w:bookmarkStart w:id="24" w:name="Xcdbd5cc6457247e510702468bef2692cd0fa7c7"/>
    <w:p>
      <w:pPr>
        <w:pStyle w:val="Heading2"/>
      </w:pPr>
      <w:r>
        <w:t xml:space="preserve">V. Market Challenges and Strategic Response</w:t>
      </w:r>
    </w:p>
    <w:p>
      <w:pPr>
        <w:pStyle w:val="FirstParagraph"/>
      </w:pPr>
      <w:r>
        <w:t xml:space="preserve">Despite strong performance, two key challenges emerged:</w:t>
      </w:r>
    </w:p>
    <w:p>
      <w:pPr>
        <w:numPr>
          <w:ilvl w:val="0"/>
          <w:numId w:val="1002"/>
        </w:numPr>
        <w:pStyle w:val="Compact"/>
      </w:pPr>
      <w:r>
        <w:rPr>
          <w:bCs/>
          <w:b/>
        </w:rPr>
        <w:t xml:space="preserve">Cultural Sensitivity Training Requirements:</w:t>
      </w:r>
      <w:r>
        <w:t xml:space="preserve"> </w:t>
      </w:r>
      <w:r>
        <w:t xml:space="preserve">Kyoto's preservation culture necessitates constant engineer re-certification (every 18 months) at a cost of ¥1.2M annually. *Solution: Implemented quarterly "Cultural Immersion Workshops" using virtual reality simulations of historic sites, reducing training costs by 27% while improving compliance.</w:t>
      </w:r>
    </w:p>
    <w:p>
      <w:pPr>
        <w:numPr>
          <w:ilvl w:val="0"/>
          <w:numId w:val="1002"/>
        </w:numPr>
        <w:pStyle w:val="Compact"/>
      </w:pPr>
      <w:r>
        <w:rPr>
          <w:bCs/>
          <w:b/>
        </w:rPr>
        <w:t xml:space="preserve">Legacy Infrastructure Constraints:</w:t>
      </w:r>
      <w:r>
        <w:t xml:space="preserve"> </w:t>
      </w:r>
      <w:r>
        <w:t xml:space="preserve">Many Kyoto districts feature underground utility systems dating to the Edo period (1603-1868), complicating trenchless installation. *Solution: Our Telecommunication Engineer team developed proprietary "Edo-Safe Trenchless Technology" (patent pending), cutting project timelines by 40% for heritage sites.</w:t>
      </w:r>
    </w:p>
    <w:bookmarkEnd w:id="24"/>
    <w:bookmarkStart w:id="25" w:name="Xfc17f528e686c2082f719124f23adb6ef050455"/>
    <w:p>
      <w:pPr>
        <w:pStyle w:val="Heading2"/>
      </w:pPr>
      <w:r>
        <w:t xml:space="preserve">VI. Future Outlook and Strategic Recommendations</w:t>
      </w:r>
    </w:p>
    <w:p>
      <w:pPr>
        <w:pStyle w:val="FirstParagraph"/>
      </w:pPr>
      <w:r>
        <w:t xml:space="preserve">The Japan Kyoto telecommunications market is projected to reach ¥385B by 2025, with Kyoto's smart city initiatives representing the fastest-growing segment (14.7% CAGR). To capitalize on this trajectory, we recommend:</w:t>
      </w:r>
    </w:p>
    <w:p>
      <w:pPr>
        <w:numPr>
          <w:ilvl w:val="0"/>
          <w:numId w:val="1003"/>
        </w:numPr>
        <w:pStyle w:val="Compact"/>
      </w:pPr>
      <w:r>
        <w:rPr>
          <w:bCs/>
          <w:b/>
        </w:rPr>
        <w:t xml:space="preserve">Expand Telecommunication Engineer Specialization:</w:t>
      </w:r>
      <w:r>
        <w:t xml:space="preserve"> </w:t>
      </w:r>
      <w:r>
        <w:t xml:space="preserve">Create "Kyoto Heritage Network" certification track for engineers focusing exclusively on cultural site installations—projected to capture an additional 15% market share by Q2 2024.</w:t>
      </w:r>
    </w:p>
    <w:p>
      <w:pPr>
        <w:numPr>
          <w:ilvl w:val="0"/>
          <w:numId w:val="1003"/>
        </w:numPr>
        <w:pStyle w:val="Compact"/>
      </w:pPr>
      <w:r>
        <w:rPr>
          <w:bCs/>
          <w:b/>
        </w:rPr>
        <w:t xml:space="preserve">Leverage Government Partnerships:</w:t>
      </w:r>
      <w:r>
        <w:t xml:space="preserve"> </w:t>
      </w:r>
      <w:r>
        <w:t xml:space="preserve">Formalize collaboration with Kyoto City's Environmental Department for the "Green Network Initiative," targeting waste management IoT deployments across all historic districts (potential revenue: ¥85M annually).</w:t>
      </w:r>
    </w:p>
    <w:p>
      <w:pPr>
        <w:numPr>
          <w:ilvl w:val="0"/>
          <w:numId w:val="1003"/>
        </w:numPr>
        <w:pStyle w:val="Compact"/>
      </w:pPr>
      <w:r>
        <w:rPr>
          <w:bCs/>
          <w:b/>
        </w:rPr>
        <w:t xml:space="preserve">Develop AI-Powered Heritage Compatibility Tool:</w:t>
      </w:r>
      <w:r>
        <w:t xml:space="preserve"> </w:t>
      </w:r>
      <w:r>
        <w:t xml:space="preserve">Implement machine learning model trained on Kyoto's architectural data to predict optimal installation points without visual disruption—accelerating proposal-to-contract cycles by 35%.</w:t>
      </w:r>
    </w:p>
    <w:bookmarkEnd w:id="25"/>
    <w:bookmarkStart w:id="26" w:name="vii.-conclusion"/>
    <w:p>
      <w:pPr>
        <w:pStyle w:val="Heading2"/>
      </w:pPr>
      <w:r>
        <w:t xml:space="preserve">VII. Conclusion</w:t>
      </w:r>
    </w:p>
    <w:p>
      <w:pPr>
        <w:pStyle w:val="FirstParagraph"/>
      </w:pPr>
      <w:r>
        <w:t xml:space="preserve">This Sales Report unequivocally demonstrates that specialized Telecommunication Engineer expertise, deeply integrated with Kyoto's unique cultural and regulatory ecosystem, is the primary driver of commercial success in Japan Kyoto. The team's ability to balance cutting-edge telecommunications with profound respect for local heritage has transformed our service offering from technical execution to cultural partnership. As Kyoto continues its journey as a global model for sustainable technological integration, our Telecommunication Engineer division will remain the cornerstone of this mission—delivering not just networks, but harmonious connectivity that honors the city's past while enabling its digital future. With projected revenue growth of 25% for FY2024, we stand positioned to set new benchmarks in telecommunication excellence within Japan's most historically significant metropolitan market.</w:t>
      </w:r>
    </w:p>
    <w:p>
      <w:pPr>
        <w:pStyle w:val="BodyText"/>
      </w:pPr>
      <w:r>
        <w:rPr>
          <w:iCs/>
          <w:i/>
        </w:rPr>
        <w:t xml:space="preserve">Report End: Total Word Count - 876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in Japan Kyoto</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