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Tokyo</w:t>
      </w:r>
      <w:r>
        <w:t xml:space="preserve"> </w:t>
      </w:r>
      <w:r>
        <w:t xml:space="preserve">Market</w:t>
      </w:r>
    </w:p>
    <w:bookmarkStart w:id="29" w:name="Xb26b1b145bbcadff8b5e6f573d08f20d8079d07"/>
    <w:p>
      <w:pPr>
        <w:pStyle w:val="Heading1"/>
      </w:pPr>
      <w:r>
        <w:t xml:space="preserve">Telecommunication Engineering Sales Performance Report: Japan Tokyo Market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Japan Tokyo</w:t>
      </w:r>
    </w:p>
    <w:p>
      <w:pPr>
        <w:pStyle w:val="BodyText"/>
      </w:pPr>
      <w:r>
        <w:t xml:space="preserve">This comprehensive Sales Report details the performance trajectory of our Telecommunication Engineering division within the critical Japan Tokyo market. As the leading provider of next-generation network solutions in East Asia, our Telecommunication Engineers have been instrumental in driving 32% YoY revenue growth through strategic technical sales enablement and infrastructure innovation. This document validates how specialized engineering expertise directly fuels market leadership in Tokyo's hyper-competitive telecommunications ecosystem.</w:t>
      </w:r>
    </w:p>
    <w:bookmarkStart w:id="20" w:name="X438eb374ab3c9798bcfd4c7fcc7e031c856a90a"/>
    <w:p>
      <w:pPr>
        <w:pStyle w:val="Heading2"/>
      </w:pPr>
      <w:r>
        <w:t xml:space="preserve">Executive Summary: Engineering-Driven Sales Momentum</w:t>
      </w:r>
    </w:p>
    <w:p>
      <w:pPr>
        <w:pStyle w:val="FirstParagraph"/>
      </w:pPr>
      <w:r>
        <w:t xml:space="preserve">The Japan Tokyo telecommunications sector continues to evolve at unprecedented speed, with 5G deployment accelerating across metropolitan infrastructure and IoT connectivity demands surging by 47% in Q3. Our Telecommunication Engineers have emerged as the cornerstone of this success, directly contributing to a record-breaking $18.7M in new enterprise contracts during H2 2023. Unlike traditional sales teams, our engineers possess dual expertise—translating complex technical capabilities into client-specific business value propositions that resonate with Tokyo's corporate decision-makers.</w:t>
      </w:r>
    </w:p>
    <w:p>
      <w:pPr>
        <w:pStyle w:val="BodyText"/>
      </w:pPr>
      <w:r>
        <w:t xml:space="preserve">Notably, 76% of closed deals in Tokyo involved Telecommunication Engineers conducting on-site solution architecture workshops (vs. industry average of 34%). This engineering-led approach reduced sales cycles by 29% while increasing average deal size by $1.2M through customized network integration proposals.</w:t>
      </w:r>
    </w:p>
    <w:bookmarkEnd w:id="20"/>
    <w:bookmarkStart w:id="21" w:name="X40d4b7ae9703b7999c558978c79f5147ba80a22"/>
    <w:p>
      <w:pPr>
        <w:pStyle w:val="Heading2"/>
      </w:pPr>
      <w:r>
        <w:t xml:space="preserve">Market Context: Japan Tokyo's Telecommunications Imperatives</w:t>
      </w:r>
    </w:p>
    <w:p>
      <w:pPr>
        <w:pStyle w:val="FirstParagraph"/>
      </w:pPr>
      <w:r>
        <w:t xml:space="preserve">Japan's Ministry of Internal Affairs and Communications has prioritized Tokyo as the national hub for 6G R&amp;D investment, allocating ¥380B (approx. $2.5B) for smart city infrastructure through 2025. This creates a unique opportunity where our Telecommunication Engineers are not merely service providers but strategic partners in Tokyo's digital transformation journey. The Tokyo Metropolitan Government's "Smart City Initiative" requires networks capable of handling 1M+ IoT devices per square kilometer—a technical challenge our engineers have addressed through custom network slicing solutions.</w:t>
      </w:r>
    </w:p>
    <w:p>
      <w:pPr>
        <w:pStyle w:val="BodyText"/>
      </w:pPr>
      <w:r>
        <w:t xml:space="preserve">Key market drivers impacting sales strategy include:</w:t>
      </w:r>
    </w:p>
    <w:p>
      <w:pPr>
        <w:numPr>
          <w:ilvl w:val="0"/>
          <w:numId w:val="1001"/>
        </w:numPr>
        <w:pStyle w:val="Compact"/>
      </w:pPr>
      <w:r>
        <w:rPr>
          <w:bCs/>
          <w:b/>
        </w:rPr>
        <w:t xml:space="preserve">Regulatory Compliance:</w:t>
      </w:r>
      <w:r>
        <w:t xml:space="preserve"> </w:t>
      </w:r>
      <w:r>
        <w:t xml:space="preserve">Japan's strict telecommunication laws (e.g., Act on the Protection of Personal Information) require engineering-level expertise to navigate certification processes</w:t>
      </w:r>
    </w:p>
    <w:p>
      <w:pPr>
        <w:numPr>
          <w:ilvl w:val="0"/>
          <w:numId w:val="1001"/>
        </w:numPr>
        <w:pStyle w:val="Compact"/>
      </w:pPr>
      <w:r>
        <w:rPr>
          <w:bCs/>
          <w:b/>
        </w:rPr>
        <w:t xml:space="preserve">Cultural Nuances:</w:t>
      </w:r>
      <w:r>
        <w:t xml:space="preserve"> </w:t>
      </w:r>
      <w:r>
        <w:t xml:space="preserve">Tokyo enterprises prioritize relationship-driven technical validation over generic sales pitches</w:t>
      </w:r>
    </w:p>
    <w:p>
      <w:pPr>
        <w:numPr>
          <w:ilvl w:val="0"/>
          <w:numId w:val="1001"/>
        </w:numPr>
        <w:pStyle w:val="Compact"/>
      </w:pPr>
      <w:r>
        <w:rPr>
          <w:bCs/>
          <w:b/>
        </w:rPr>
        <w:t xml:space="preserve">Infrastructure Density:</w:t>
      </w:r>
      <w:r>
        <w:t xml:space="preserve"> </w:t>
      </w:r>
      <w:r>
        <w:t xml:space="preserve">5.9% of global mobile traffic originates from Tokyo—demanding hyper-localized network optimization</w:t>
      </w:r>
    </w:p>
    <w:bookmarkEnd w:id="21"/>
    <w:bookmarkStart w:id="22" w:name="X681653bb6109dd4647b441f38e669641d9c4018"/>
    <w:p>
      <w:pPr>
        <w:pStyle w:val="Heading2"/>
      </w:pPr>
      <w:r>
        <w:t xml:space="preserve">Sales Performance Breakdown: Engineering as Revenue Catalyst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(vs. Q3 2022)</w:t>
            </w:r>
          </w:p>
        </w:tc>
        <w:tc>
          <w:tcPr/>
          <w:p>
            <w:pPr>
              <w:pStyle w:val="Compact"/>
              <w:jc w:val="left"/>
            </w:pPr>
            <w:r>
              <w:t xml:space="preserve">Contribution of Telecommunication Engineers</w:t>
            </w:r>
          </w:p>
        </w:tc>
      </w:tr>
      <w:tr>
        <w:tc>
          <w:tcPr/>
          <w:p>
            <w:pPr>
              <w:pStyle w:val="Compact"/>
              <w:jc w:val="left"/>
            </w:pPr>
            <w:r>
              <w:t xml:space="preserve">New Enterprise Contracts Closed</w:t>
            </w:r>
          </w:p>
        </w:tc>
        <w:tc>
          <w:tcPr/>
          <w:p>
            <w:pPr>
              <w:pStyle w:val="Compact"/>
              <w:jc w:val="left"/>
            </w:pPr>
            <w:r>
              <w:t xml:space="preserve">+38% ($14.9M → $20.5M)</w:t>
            </w:r>
          </w:p>
        </w:tc>
        <w:tc>
          <w:tcPr/>
          <w:p>
            <w:pPr>
              <w:pStyle w:val="Compact"/>
              <w:jc w:val="left"/>
            </w:pPr>
            <w:r>
              <w:t xml:space="preserve">Direct involvement in 89% of deals</w:t>
            </w:r>
          </w:p>
        </w:tc>
      </w:tr>
      <w:tr>
        <w:tc>
          <w:tcPr/>
          <w:p>
            <w:pPr>
              <w:pStyle w:val="Compact"/>
              <w:jc w:val="left"/>
            </w:pPr>
            <w:r>
              <w:t xml:space="preserve">Sales Cycle Duration</w:t>
            </w:r>
          </w:p>
        </w:tc>
        <w:tc>
          <w:tcPr/>
          <w:p>
            <w:pPr>
              <w:pStyle w:val="Compact"/>
              <w:jc w:val="left"/>
            </w:pPr>
            <w:r>
              <w:t xml:space="preserve">-28% (62 days → 45 days)</w:t>
            </w:r>
          </w:p>
        </w:tc>
        <w:tc>
          <w:tcPr/>
          <w:p>
            <w:pPr>
              <w:pStyle w:val="Compact"/>
              <w:jc w:val="left"/>
            </w:pPr>
            <w:r>
              <w:t xml:space="preserve">Engineer-led technical validation reduced objections by 63%</w:t>
            </w:r>
          </w:p>
        </w:tc>
      </w:tr>
      <w:tr>
        <w:tc>
          <w:tcPr/>
          <w:p>
            <w:pPr>
              <w:pStyle w:val="Compact"/>
              <w:jc w:val="left"/>
            </w:pPr>
            <w:r>
              <w:t xml:space="preserve">Average Deal Size</w:t>
            </w:r>
          </w:p>
        </w:tc>
        <w:tc>
          <w:tcPr/>
          <w:p>
            <w:pPr>
              <w:pStyle w:val="Compact"/>
              <w:jc w:val="left"/>
            </w:pPr>
            <w:r>
              <w:t xml:space="preserve">+19% ($1.7M → $2.0M)</w:t>
            </w:r>
          </w:p>
        </w:tc>
        <w:tc>
          <w:tcPr/>
          <w:p>
            <w:pPr>
              <w:pStyle w:val="Compact"/>
              <w:jc w:val="left"/>
            </w:pPr>
            <w:r>
              <w:t xml:space="preserve">Engineers identified $380K+ upsell opportunities per deal</w:t>
            </w:r>
          </w:p>
        </w:tc>
      </w:tr>
      <w:tr>
        <w:tc>
          <w:tcPr/>
          <w:p>
            <w:pPr>
              <w:pStyle w:val="Compact"/>
              <w:jc w:val="left"/>
            </w:pPr>
            <w:r>
              <w:t xml:space="preserve">Cross-Sell Success Rate</w:t>
            </w:r>
          </w:p>
        </w:tc>
        <w:tc>
          <w:tcPr/>
          <w:p>
            <w:pPr>
              <w:pStyle w:val="Compact"/>
              <w:jc w:val="left"/>
            </w:pPr>
            <w:r>
              <w:t xml:space="preserve">+41% (to 68% of existing clients)</w:t>
            </w:r>
          </w:p>
        </w:tc>
        <w:tc>
          <w:tcPr/>
          <w:p>
            <w:pPr>
              <w:pStyle w:val="Compact"/>
              <w:jc w:val="left"/>
            </w:pPr>
            <w:r>
              <w:t xml:space="preserve">Engineers identified integration points during network audits</w:t>
            </w:r>
          </w:p>
        </w:tc>
      </w:tr>
    </w:tbl>
    <w:p>
      <w:pPr>
        <w:pStyle w:val="BodyText"/>
      </w:pPr>
      <w:r>
        <w:t xml:space="preserve">The data unequivocally demonstrates that our Telecommunication Engineers are the primary differentiator in Tokyo's saturated market. For instance, when pitching to Tokyo-based Mitsubishi Electric, our lead engineer conducted a live 5G latency demonstration at their R&amp;D facility—resulting in an immediate $4.2M network modernization contract and subsequent $1.8M IoT expansion deal.</w:t>
      </w:r>
    </w:p>
    <w:bookmarkEnd w:id="22"/>
    <w:bookmarkStart w:id="26" w:name="X5939a7ce77e1b95251110792b8b3b247ce69c70"/>
    <w:p>
      <w:pPr>
        <w:pStyle w:val="Heading2"/>
      </w:pPr>
      <w:r>
        <w:t xml:space="preserve">Strategic Insights: Engineering Excellence in Japan Context</w:t>
      </w:r>
    </w:p>
    <w:p>
      <w:pPr>
        <w:pStyle w:val="FirstParagraph"/>
      </w:pPr>
      <w:r>
        <w:t xml:space="preserve">Our success stems from three engineering-focused strategies uniquely adapted for Japan Tokyo:</w:t>
      </w:r>
    </w:p>
    <w:bookmarkStart w:id="23" w:name="cultural-integration-of-technical-sales"/>
    <w:p>
      <w:pPr>
        <w:pStyle w:val="Heading3"/>
      </w:pPr>
      <w:r>
        <w:t xml:space="preserve">1. Cultural Integration of Technical Sales</w:t>
      </w:r>
    </w:p>
    <w:p>
      <w:pPr>
        <w:pStyle w:val="FirstParagraph"/>
      </w:pPr>
      <w:r>
        <w:t xml:space="preserve">All Telecommunication Engineers undergo rigorous "Japan Business Etiquette Certification" covering bowing protocols, business card exchange customs (meishi), and relationship-building rituals (nemawashi). This cultural fluency enables engineers to gain trust during pre-sales workshops at Tokyo corporate headquarters—where 72% of decisions are influenced by technical credibility over price.</w:t>
      </w:r>
    </w:p>
    <w:bookmarkEnd w:id="23"/>
    <w:bookmarkStart w:id="24" w:name="hyper-local-technical-differentiation"/>
    <w:p>
      <w:pPr>
        <w:pStyle w:val="Heading3"/>
      </w:pPr>
      <w:r>
        <w:t xml:space="preserve">2. Hyper-Local Technical Differentiation</w:t>
      </w:r>
    </w:p>
    <w:p>
      <w:pPr>
        <w:pStyle w:val="FirstParagraph"/>
      </w:pPr>
      <w:r>
        <w:t xml:space="preserve">Engineers developed Tokyo-specific network models accounting for:</w:t>
      </w:r>
    </w:p>
    <w:p>
      <w:pPr>
        <w:numPr>
          <w:ilvl w:val="0"/>
          <w:numId w:val="1002"/>
        </w:numPr>
        <w:pStyle w:val="Compact"/>
      </w:pPr>
      <w:r>
        <w:t xml:space="preserve">Subway tunnel signal degradation (addressed with proprietary millimeter-wave repeaters)</w:t>
      </w:r>
    </w:p>
    <w:p>
      <w:pPr>
        <w:numPr>
          <w:ilvl w:val="0"/>
          <w:numId w:val="1002"/>
        </w:numPr>
        <w:pStyle w:val="Compact"/>
      </w:pPr>
      <w:r>
        <w:t xml:space="preserve">Rain-induced signal attenuation patterns unique to Tokyo's monsoon season</w:t>
      </w:r>
    </w:p>
    <w:p>
      <w:pPr>
        <w:numPr>
          <w:ilvl w:val="0"/>
          <w:numId w:val="1002"/>
        </w:numPr>
        <w:pStyle w:val="Compact"/>
      </w:pPr>
      <w:r>
        <w:t xml:space="preserve">High-density building materials (reinforced concrete) requiring custom antenna placement</w:t>
      </w:r>
    </w:p>
    <w:bookmarkEnd w:id="24"/>
    <w:bookmarkStart w:id="25" w:name="regulatory-navigation-as-sales-advantage"/>
    <w:p>
      <w:pPr>
        <w:pStyle w:val="Heading3"/>
      </w:pPr>
      <w:r>
        <w:t xml:space="preserve">3. Regulatory Navigation as Sales Advantage</w:t>
      </w:r>
    </w:p>
    <w:p>
      <w:pPr>
        <w:pStyle w:val="FirstParagraph"/>
      </w:pPr>
      <w:r>
        <w:t xml:space="preserve">Japan's Telecommunications Business Act demands engineering-level compliance documentation. Our Tokyo-based Telecommunication Engineers maintain direct relationships with the Ministry of Internal Affairs and Communications (MIC), enabling us to secure regulatory approvals 14 days faster than competitors—turning a bureaucratic hurdle into a competitive sales tool.</w:t>
      </w:r>
    </w:p>
    <w:bookmarkEnd w:id="25"/>
    <w:bookmarkEnd w:id="26"/>
    <w:bookmarkStart w:id="27" w:name="challenges-strategic-recommendations"/>
    <w:p>
      <w:pPr>
        <w:pStyle w:val="Heading2"/>
      </w:pPr>
      <w:r>
        <w:t xml:space="preserve">Challenges &amp; Strategic Recommendations</w:t>
      </w:r>
    </w:p>
    <w:p>
      <w:pPr>
        <w:pStyle w:val="FirstParagraph"/>
      </w:pPr>
      <w:r>
        <w:t xml:space="preserve">Despite strong performance, three challenges require immediate attention in Japan Tokyo:</w:t>
      </w:r>
    </w:p>
    <w:p>
      <w:pPr>
        <w:numPr>
          <w:ilvl w:val="0"/>
          <w:numId w:val="1003"/>
        </w:numPr>
        <w:pStyle w:val="Compact"/>
      </w:pPr>
      <w:r>
        <w:rPr>
          <w:bCs/>
          <w:b/>
        </w:rPr>
        <w:t xml:space="preserve">Talent Retention:</w:t>
      </w:r>
      <w:r>
        <w:t xml:space="preserve"> </w:t>
      </w:r>
      <w:r>
        <w:t xml:space="preserve">34% of senior engineers cite insufficient Japanese language proficiency as career barrier (vs. industry avg. 18%). Recommendation: Implement mandatory N2-level Japanese training with telecommunication terminology modules.</w:t>
      </w:r>
    </w:p>
    <w:p>
      <w:pPr>
        <w:numPr>
          <w:ilvl w:val="0"/>
          <w:numId w:val="1003"/>
        </w:numPr>
        <w:pStyle w:val="Compact"/>
      </w:pPr>
      <w:r>
        <w:rPr>
          <w:bCs/>
          <w:b/>
        </w:rPr>
        <w:t xml:space="preserve">Supply Chain Vulnerability:</w:t>
      </w:r>
      <w:r>
        <w:t xml:space="preserve"> </w:t>
      </w:r>
      <w:r>
        <w:t xml:space="preserve">Tokyo's reliance on semiconductor imports creates network upgrade delays. Recommendation: Establish local component assembly partnership with Fujitsu to reduce lead times from 90→30 days.</w:t>
      </w:r>
    </w:p>
    <w:p>
      <w:pPr>
        <w:numPr>
          <w:ilvl w:val="0"/>
          <w:numId w:val="1003"/>
        </w:numPr>
        <w:pStyle w:val="Compact"/>
      </w:pPr>
      <w:r>
        <w:rPr>
          <w:bCs/>
          <w:b/>
        </w:rPr>
        <w:t xml:space="preserve">Cultural Misalignment in Sales Metrics:</w:t>
      </w:r>
      <w:r>
        <w:t xml:space="preserve"> </w:t>
      </w:r>
      <w:r>
        <w:t xml:space="preserve">Traditional sales KPIs ignore engineering value contribution. Recommendation: Introduce "Technical Solution Value Index" measuring engineer-driven upsell opportunities and client retention.</w:t>
      </w:r>
    </w:p>
    <w:bookmarkEnd w:id="27"/>
    <w:bookmarkStart w:id="28" w:name="Xf4742ecc3a1e9b1d5d1a62520f129975dbbc30b"/>
    <w:p>
      <w:pPr>
        <w:pStyle w:val="Heading2"/>
      </w:pPr>
      <w:r>
        <w:t xml:space="preserve">Conclusion: Engineering as the Core Sales Engine</w:t>
      </w:r>
    </w:p>
    <w:p>
      <w:pPr>
        <w:pStyle w:val="FirstParagraph"/>
      </w:pPr>
      <w:r>
        <w:t xml:space="preserve">The Japan Tokyo market has unequivocally proven that a Telecommunication Engineer is not a support role but the central revenue driver in advanced telecommunications sales. As Tokyo accelerates toward its 6G infrastructure targets, our engineering team's technical acumen directly translates to $8.3M in projected Q1 2024 revenue. We recommend doubling the engineering headcount in Tokyo from 17 to 35 within six months, with dedicated roles for IoT integration (targeting Tokyo's Smart City Initiative) and regulatory strategy.</w:t>
      </w:r>
    </w:p>
    <w:p>
      <w:pPr>
        <w:pStyle w:val="BodyText"/>
      </w:pPr>
      <w:r>
        <w:t xml:space="preserve">Ultimately, this Sales Report validates a fundamental truth: In Japan Tokyo's telecommunications landscape, where technical precision dictates commercial success, the Telecommunication Engineer is the indispensable catalyst. Our engineering-led sales model has not merely met market demands—it has redefined them. As we prepare for Tokyo's 2025 smart city rollout, our engineers will remain at the forefront of transforming network infrastructure into measurable business outcomes.</w:t>
      </w:r>
    </w:p>
    <w:p>
      <w:pPr>
        <w:pStyle w:val="BodyText"/>
      </w:pPr>
      <w:r>
        <w:rPr>
          <w:iCs/>
          <w:i/>
        </w:rPr>
        <w:t xml:space="preserve">"In Tokyo, technology is sold through technical credibility first—then commerce. Our Telecommunication Engineers own that moment." – Kei Tanaka, Head of Japan Sales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Performance Report: Japan Tokyo Market</dc:title>
  <dc:creator/>
  <dc:language>en</dc:language>
  <cp:keywords/>
  <dcterms:created xsi:type="dcterms:W3CDTF">2026-07-23T21:59:37Z</dcterms:created>
  <dcterms:modified xsi:type="dcterms:W3CDTF">2026-07-23T21:59:37Z</dcterms:modified>
</cp:coreProperties>
</file>

<file path=docProps/custom.xml><?xml version="1.0" encoding="utf-8"?>
<Properties xmlns="http://schemas.openxmlformats.org/officeDocument/2006/custom-properties" xmlns:vt="http://schemas.openxmlformats.org/officeDocument/2006/docPropsVTypes"/>
</file>