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Telecommunications</w:t>
      </w:r>
      <w:r>
        <w:t xml:space="preserve"> </w:t>
      </w:r>
      <w:r>
        <w:t xml:space="preserve">Sales</w:t>
      </w:r>
      <w:r>
        <w:t xml:space="preserve"> </w:t>
      </w:r>
      <w:r>
        <w:t xml:space="preserve">Report:</w:t>
      </w:r>
      <w:r>
        <w:t xml:space="preserve"> </w:t>
      </w:r>
      <w:r>
        <w:t xml:space="preserve">Netherlands</w:t>
      </w:r>
      <w:r>
        <w:t xml:space="preserve"> </w:t>
      </w:r>
      <w:r>
        <w:t xml:space="preserve">Amsterdam</w:t>
      </w:r>
      <w:r>
        <w:t xml:space="preserve"> </w:t>
      </w:r>
      <w:r>
        <w:t xml:space="preserve">Market</w:t>
      </w:r>
    </w:p>
    <w:bookmarkStart w:id="27" w:name="Xa0386e8dd1abc8d9c1daddd7cd45587d9d3d45c"/>
    <w:p>
      <w:pPr>
        <w:pStyle w:val="Heading1"/>
      </w:pPr>
      <w:r>
        <w:t xml:space="preserve">Comprehensive Sales Report: Telecommunications Engineering Services in Netherlands Amsterdam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Telecommunications Division</w:t>
      </w:r>
      <w:r>
        <w:br/>
      </w:r>
      <w:r>
        <w:rPr>
          <w:bCs/>
          <w:b/>
        </w:rPr>
        <w:t xml:space="preserve">Prepared By:</w:t>
      </w:r>
      <w:r>
        <w:t xml:space="preserve"> </w:t>
      </w:r>
      <w:r>
        <w:t xml:space="preserve">Strategic Sales Intelligence Department</w:t>
      </w:r>
    </w:p>
    <w:bookmarkStart w:id="20" w:name="i.-executive-summary"/>
    <w:p>
      <w:pPr>
        <w:pStyle w:val="Heading2"/>
      </w:pPr>
      <w:r>
        <w:t xml:space="preserve">I. Executive Summary</w:t>
      </w:r>
    </w:p>
    <w:p>
      <w:pPr>
        <w:pStyle w:val="FirstParagraph"/>
      </w:pPr>
      <w:r>
        <w:t xml:space="preserve">This Sales Report presents a detailed analysis of telecommunications engineering service performance across the Netherlands Amsterdam market during Q3 2023. The region continues to represent a critical growth frontier for our global infrastructure portfolio, with Amsterdam serving as the strategic hub for European telecommunication innovation. As the leading provider of next-generation network solutions, our Telecommunication Engineer teams have driven exceptional sales outcomes in this high-value market, achieving a 17% year-over-year revenue increase. This report validates the strategic importance of maintaining specialized engineering talent in Netherlands Amsterdam to capitalize on Europe's most dynamic digital infrastructure landscape.</w:t>
      </w:r>
    </w:p>
    <w:bookmarkEnd w:id="20"/>
    <w:bookmarkStart w:id="21" w:name="Xf6cf916f8ecebaa7693420da4746a1fcd4cd7c0"/>
    <w:p>
      <w:pPr>
        <w:pStyle w:val="Heading2"/>
      </w:pPr>
      <w:r>
        <w:t xml:space="preserve">II. Market Context: Netherlands Amsterdam as a Telecommunications Nexus</w:t>
      </w:r>
    </w:p>
    <w:p>
      <w:pPr>
        <w:pStyle w:val="FirstParagraph"/>
      </w:pPr>
      <w:r>
        <w:t xml:space="preserve">The Netherlands Amsterdam market remains Europe's premier telecommunications ecosystem, hosting 78% of all major European data centers and serving as the backbone for 45% of transatlantic internet traffic. With its world-class fiber-optic infrastructure density (13.2 km/km²), regulatory excellence under the Dutch Digital Agenda, and strategic location between EU markets, Amsterdam has become the undisputed epicenter for telecommunication innovation. Our Telecommunication Engineer teams operate within this unique environment where 94% of enterprises require 5G-ready infrastructure, creating unprecedented demand for specialized engineering services. This market saturation of digital transformation initiatives directly fuels our sales pipeline growth in Netherlands Amsterdam.</w:t>
      </w:r>
    </w:p>
    <w:bookmarkEnd w:id="21"/>
    <w:bookmarkStart w:id="22" w:name="Xc9bf0a05b6d265caeffdff59ae8c3e3c042c434"/>
    <w:p>
      <w:pPr>
        <w:pStyle w:val="Heading2"/>
      </w:pPr>
      <w:r>
        <w:t xml:space="preserve">III. Sales Performance Analysis: Key Metrics (Q3 2023)</w:t>
      </w:r>
    </w:p>
    <w:p>
      <w:pPr>
        <w:pStyle w:val="FirstParagraph"/>
      </w:pPr>
      <w:r>
        <w:t xml:space="preserve">Our Telecommunication Engineer units delivered remarkable results in the Netherlands Amsterdam territory, exceeding quarterly targets by 19%:</w:t>
      </w:r>
    </w:p>
    <w:p>
      <w:pPr>
        <w:numPr>
          <w:ilvl w:val="0"/>
          <w:numId w:val="1001"/>
        </w:numPr>
        <w:pStyle w:val="Compact"/>
      </w:pPr>
      <w:r>
        <w:rPr>
          <w:bCs/>
          <w:b/>
        </w:rPr>
        <w:t xml:space="preserve">Revenue Generated:</w:t>
      </w:r>
      <w:r>
        <w:t xml:space="preserve"> </w:t>
      </w:r>
      <w:r>
        <w:t xml:space="preserve">€14.8M (vs. target €12.5M)</w:t>
      </w:r>
    </w:p>
    <w:p>
      <w:pPr>
        <w:numPr>
          <w:ilvl w:val="0"/>
          <w:numId w:val="1001"/>
        </w:numPr>
        <w:pStyle w:val="Compact"/>
      </w:pPr>
      <w:r>
        <w:rPr>
          <w:bCs/>
          <w:b/>
        </w:rPr>
        <w:t xml:space="preserve">New Client Acquisition:</w:t>
      </w:r>
      <w:r>
        <w:t xml:space="preserve"> </w:t>
      </w:r>
      <w:r>
        <w:t xml:space="preserve">32 enterprise contracts (including major financial institutions and healthcare networks)</w:t>
      </w:r>
    </w:p>
    <w:p>
      <w:pPr>
        <w:numPr>
          <w:ilvl w:val="0"/>
          <w:numId w:val="1001"/>
        </w:numPr>
        <w:pStyle w:val="Compact"/>
      </w:pPr>
      <w:r>
        <w:rPr>
          <w:bCs/>
          <w:b/>
        </w:rPr>
        <w:t xml:space="preserve">Solution Uptake:</w:t>
      </w:r>
      <w:r>
        <w:t xml:space="preserve"> </w:t>
      </w:r>
      <w:r>
        <w:t xml:space="preserve">76% increase in multi-tenant edge computing deployments</w:t>
      </w:r>
    </w:p>
    <w:p>
      <w:pPr>
        <w:numPr>
          <w:ilvl w:val="0"/>
          <w:numId w:val="1001"/>
        </w:numPr>
        <w:pStyle w:val="Compact"/>
      </w:pPr>
      <w:r>
        <w:t xml:space="preserve">92% (vs. industry average of 84%)</w:t>
      </w:r>
    </w:p>
    <w:p>
      <w:pPr>
        <w:numPr>
          <w:ilvl w:val="0"/>
          <w:numId w:val="1001"/>
        </w:numPr>
        <w:pStyle w:val="Compact"/>
      </w:pPr>
      <w:r>
        <w:rPr>
          <w:bCs/>
          <w:b/>
        </w:rPr>
        <w:t xml:space="preserve">Project Velocity:</w:t>
      </w:r>
      <w:r>
        <w:t xml:space="preserve"> </w:t>
      </w:r>
      <w:r>
        <w:t xml:space="preserve">Average deployment cycle reduced by 33 days through optimized engineering workflows</w:t>
      </w:r>
    </w:p>
    <w:p>
      <w:pPr>
        <w:pStyle w:val="FirstParagraph"/>
      </w:pPr>
      <w:r>
        <w:t xml:space="preserve">The success is directly attributable to our Telecommunication Engineers' specialized expertise in Amsterdam's unique regulatory environment, particularly their ability to navigate the Dutch Data Protection Authority (AP) compliance requirements and integrate with the National Broadband Network (NBN) framework. Notable wins include the €4.2M smart city infrastructure project for Amsterdam Municipality and a 5G private network deployment for ASML's advanced semiconductor facilities – both requiring deep local market knowledge.</w:t>
      </w:r>
    </w:p>
    <w:bookmarkEnd w:id="22"/>
    <w:bookmarkStart w:id="23" w:name="X777c8964ecec92a60d89a15ab6df5dad89bff1a"/>
    <w:p>
      <w:pPr>
        <w:pStyle w:val="Heading2"/>
      </w:pPr>
      <w:r>
        <w:t xml:space="preserve">IV. Role of Telecommunication Engineer: Strategic Differentiation in Netherlands Amsterdam</w:t>
      </w:r>
    </w:p>
    <w:p>
      <w:pPr>
        <w:pStyle w:val="FirstParagraph"/>
      </w:pPr>
      <w:r>
        <w:t xml:space="preserve">In the Netherlands Amsterdam context, our Telecommunication Engineers function as strategic business partners rather than technical implementers. Their dual expertise in cutting-edge network architecture (including Open RAN and network slicing) combined with intimate understanding of Dutch municipal planning regulations creates unassailable competitive advantage. Key differentiators include:</w:t>
      </w:r>
    </w:p>
    <w:p>
      <w:pPr>
        <w:numPr>
          <w:ilvl w:val="0"/>
          <w:numId w:val="1002"/>
        </w:numPr>
        <w:pStyle w:val="Compact"/>
      </w:pPr>
      <w:r>
        <w:rPr>
          <w:bCs/>
          <w:b/>
        </w:rPr>
        <w:t xml:space="preserve">Regulatory Navigation:</w:t>
      </w:r>
      <w:r>
        <w:t xml:space="preserve"> </w:t>
      </w:r>
      <w:r>
        <w:t xml:space="preserve">Engineers certified in Dutch telecommunications law (Media Act 2018) accelerate permitting by 40%</w:t>
      </w:r>
    </w:p>
    <w:p>
      <w:pPr>
        <w:numPr>
          <w:ilvl w:val="0"/>
          <w:numId w:val="1002"/>
        </w:numPr>
        <w:pStyle w:val="Compact"/>
      </w:pPr>
      <w:r>
        <w:rPr>
          <w:bCs/>
          <w:b/>
        </w:rPr>
        <w:t xml:space="preserve">Local Infrastructure Integration:</w:t>
      </w:r>
      <w:r>
        <w:t xml:space="preserve"> </w:t>
      </w:r>
      <w:r>
        <w:t xml:space="preserve">Expertise in Amsterdam's dense urban fiber networks and existing KPN/Tele2 infrastructure</w:t>
      </w:r>
    </w:p>
    <w:p>
      <w:pPr>
        <w:numPr>
          <w:ilvl w:val="0"/>
          <w:numId w:val="1002"/>
        </w:numPr>
        <w:pStyle w:val="Compact"/>
      </w:pPr>
      <w:r>
        <w:rPr>
          <w:bCs/>
          <w:b/>
        </w:rPr>
        <w:t xml:space="preserve">Sustainability Focus:</w:t>
      </w:r>
      <w:r>
        <w:t xml:space="preserve"> </w:t>
      </w:r>
      <w:r>
        <w:t xml:space="preserve">Implementation of energy-efficient solutions meeting Dutch Climate Accord targets (35% lower carbon footprint)</w:t>
      </w:r>
    </w:p>
    <w:p>
      <w:pPr>
        <w:pStyle w:val="FirstParagraph"/>
      </w:pPr>
      <w:r>
        <w:t xml:space="preserve">Clients specifically cite our engineers' ability to bridge technical requirements with Amsterdam's urban planning constraints as the primary reason for choosing our services over competitors. The Netherlands Amsterdam market demands this hyper-localized engineering perspective, making our Telecommunication Engineer specialization non-negotiable for success.</w:t>
      </w:r>
    </w:p>
    <w:bookmarkEnd w:id="23"/>
    <w:bookmarkStart w:id="24" w:name="v.-challenges-and-strategic-solutions"/>
    <w:p>
      <w:pPr>
        <w:pStyle w:val="Heading2"/>
      </w:pPr>
      <w:r>
        <w:t xml:space="preserve">V. Challenges and Strategic Solutions</w:t>
      </w:r>
    </w:p>
    <w:p>
      <w:pPr>
        <w:pStyle w:val="FirstParagraph"/>
      </w:pPr>
      <w:r>
        <w:t xml:space="preserve">Despite strong performance, we faced significant challenges requiring agile engineering solutions:</w:t>
      </w:r>
    </w:p>
    <w:p>
      <w:pPr>
        <w:numPr>
          <w:ilvl w:val="0"/>
          <w:numId w:val="1003"/>
        </w:numPr>
        <w:pStyle w:val="Compact"/>
      </w:pPr>
      <w:r>
        <w:rPr>
          <w:bCs/>
          <w:b/>
        </w:rPr>
        <w:t xml:space="preserve">Regulatory Complexity:</w:t>
      </w:r>
      <w:r>
        <w:t xml:space="preserve"> </w:t>
      </w:r>
      <w:r>
        <w:t xml:space="preserve">Dutch data localization laws (Article 5 of GDPR) initially slowed deployments. *Solution:* Our Telecommunication Engineer team developed a certified compliance module integrated into all project workflows, reducing regulatory delays by 65%.</w:t>
      </w:r>
    </w:p>
    <w:p>
      <w:pPr>
        <w:numPr>
          <w:ilvl w:val="0"/>
          <w:numId w:val="1003"/>
        </w:numPr>
        <w:pStyle w:val="Compact"/>
      </w:pPr>
      <w:r>
        <w:rPr>
          <w:bCs/>
          <w:b/>
        </w:rPr>
        <w:t xml:space="preserve">Sky-High Competition:</w:t>
      </w:r>
      <w:r>
        <w:t xml:space="preserve"> </w:t>
      </w:r>
      <w:r>
        <w:t xml:space="preserve">Local firms aggressively bidding on municipal projects. *Solution:* Leveraged engineers' Dutch language proficiency (72% are native speakers) to build trust through direct community engagement in Amsterdam's tech hubs (e.g., Startup Village, Science Park).</w:t>
      </w:r>
    </w:p>
    <w:p>
      <w:pPr>
        <w:numPr>
          <w:ilvl w:val="0"/>
          <w:numId w:val="1003"/>
        </w:numPr>
        <w:pStyle w:val="Compact"/>
      </w:pPr>
      <w:r>
        <w:rPr>
          <w:bCs/>
          <w:b/>
        </w:rPr>
        <w:t xml:space="preserve">Skill Shortage:</w:t>
      </w:r>
      <w:r>
        <w:t xml:space="preserve"> </w:t>
      </w:r>
      <w:r>
        <w:t xml:space="preserve">68% of competitors reported difficulty finding qualified engineers in Netherlands Amsterdam. *Solution:* Established partnership with TU Delft for targeted talent pipeline, resulting in 14 new engineering hires within the region.</w:t>
      </w:r>
    </w:p>
    <w:bookmarkEnd w:id="24"/>
    <w:bookmarkStart w:id="25" w:name="Xb530797ff1e49478c52e6c2844832c17352f772"/>
    <w:p>
      <w:pPr>
        <w:pStyle w:val="Heading2"/>
      </w:pPr>
      <w:r>
        <w:t xml:space="preserve">VI. Future Outlook: Netherlands Amsterdam Strategic Growth Plan</w:t>
      </w:r>
    </w:p>
    <w:p>
      <w:pPr>
        <w:pStyle w:val="FirstParagraph"/>
      </w:pPr>
      <w:r>
        <w:t xml:space="preserve">The outlook for telecommunications engineering services in Netherlands Amsterdam remains exceptionally strong, driven by three converging megatrends:</w:t>
      </w:r>
    </w:p>
    <w:p>
      <w:pPr>
        <w:numPr>
          <w:ilvl w:val="0"/>
          <w:numId w:val="1004"/>
        </w:numPr>
        <w:pStyle w:val="Compact"/>
      </w:pPr>
      <w:r>
        <w:rPr>
          <w:bCs/>
          <w:b/>
        </w:rPr>
        <w:t xml:space="preserve">EU Digital Markets Act (DMA):</w:t>
      </w:r>
      <w:r>
        <w:t xml:space="preserve"> </w:t>
      </w:r>
      <w:r>
        <w:t xml:space="preserve">Requires 50% of European operators to adopt new network architectures by 2025, creating €8.3B in engineering service demand.</w:t>
      </w:r>
    </w:p>
    <w:p>
      <w:pPr>
        <w:numPr>
          <w:ilvl w:val="0"/>
          <w:numId w:val="1004"/>
        </w:numPr>
        <w:pStyle w:val="Compact"/>
      </w:pPr>
      <w:r>
        <w:rPr>
          <w:bCs/>
          <w:b/>
        </w:rPr>
        <w:t xml:space="preserve">Amsterdam Smart City Initiative:</w:t>
      </w:r>
      <w:r>
        <w:t xml:space="preserve"> </w:t>
      </w:r>
      <w:r>
        <w:t xml:space="preserve">Mandates full IoT integration across municipal infrastructure by 2026, requiring continuous telecommunication engineering support.</w:t>
      </w:r>
    </w:p>
    <w:p>
      <w:pPr>
        <w:numPr>
          <w:ilvl w:val="0"/>
          <w:numId w:val="1004"/>
        </w:numPr>
        <w:pStyle w:val="Compact"/>
      </w:pPr>
      <w:r>
        <w:rPr>
          <w:bCs/>
          <w:b/>
        </w:rPr>
        <w:t xml:space="preserve">Green Data Center Expansion:</w:t>
      </w:r>
      <w:r>
        <w:t xml:space="preserve"> </w:t>
      </w:r>
      <w:r>
        <w:t xml:space="preserve">Netherlands aims to host 35% of EU's sustainable data centers by 2030, necessitating specialized engineering for energy-efficient network design.</w:t>
      </w:r>
    </w:p>
    <w:p>
      <w:pPr>
        <w:pStyle w:val="FirstParagraph"/>
      </w:pPr>
      <w:r>
        <w:t xml:space="preserve">To capitalize on these opportunities, we are implementing three strategic initiatives:</w:t>
      </w:r>
    </w:p>
    <w:p>
      <w:pPr>
        <w:numPr>
          <w:ilvl w:val="0"/>
          <w:numId w:val="1005"/>
        </w:numPr>
        <w:pStyle w:val="Compact"/>
      </w:pPr>
      <w:r>
        <w:rPr>
          <w:bCs/>
          <w:b/>
        </w:rPr>
        <w:t xml:space="preserve">Amsterdam Engineering Center Expansion:</w:t>
      </w:r>
      <w:r>
        <w:t xml:space="preserve"> </w:t>
      </w:r>
      <w:r>
        <w:t xml:space="preserve">$2.1M investment to double our local Telecommunication Engineer capacity by Q2 2024.</w:t>
      </w:r>
    </w:p>
    <w:p>
      <w:pPr>
        <w:numPr>
          <w:ilvl w:val="0"/>
          <w:numId w:val="1005"/>
        </w:numPr>
        <w:pStyle w:val="Compact"/>
      </w:pPr>
      <w:r>
        <w:rPr>
          <w:bCs/>
          <w:b/>
        </w:rPr>
        <w:t xml:space="preserve">Sustainable Engineering Certification Program:</w:t>
      </w:r>
      <w:r>
        <w:t xml:space="preserve"> </w:t>
      </w:r>
      <w:r>
        <w:t xml:space="preserve">Mandatory training for all Netherlands Amsterdam engineers in Dutch Green IT standards (ISO 50001).</w:t>
      </w:r>
    </w:p>
    <w:p>
      <w:pPr>
        <w:numPr>
          <w:ilvl w:val="0"/>
          <w:numId w:val="1005"/>
        </w:numPr>
        <w:pStyle w:val="Compact"/>
      </w:pPr>
      <w:r>
        <w:rPr>
          <w:bCs/>
          <w:b/>
        </w:rPr>
        <w:t xml:space="preserve">Cross-Industry Collaboration Hub:</w:t>
      </w:r>
      <w:r>
        <w:t xml:space="preserve"> </w:t>
      </w:r>
      <w:r>
        <w:t xml:space="preserve">Partnering with Amsterdam's Digital City Alliance to co-develop future-proof network frameworks.</w:t>
      </w:r>
    </w:p>
    <w:bookmarkEnd w:id="25"/>
    <w:bookmarkStart w:id="26" w:name="vii.-conclusion"/>
    <w:p>
      <w:pPr>
        <w:pStyle w:val="Heading2"/>
      </w:pPr>
      <w:r>
        <w:t xml:space="preserve">VII. Conclusion</w:t>
      </w:r>
    </w:p>
    <w:p>
      <w:pPr>
        <w:pStyle w:val="FirstParagraph"/>
      </w:pPr>
      <w:r>
        <w:t xml:space="preserve">This Sales Report unequivocally demonstrates that the Netherlands Amsterdam market is the cornerstone of our European telecommunications engineering success. Our strategic investment in specialized Telecommunication Engineer talent has delivered exceptional revenue growth while building defensible market position through localized expertise and regulatory mastery. As Amsterdam evolves from a data hub to an innovation ecosystem, our ability to deploy world-class telecommunication engineering services within this unique context will determine our market leadership for the next decade.</w:t>
      </w:r>
    </w:p>
    <w:p>
      <w:pPr>
        <w:pStyle w:val="BodyText"/>
      </w:pPr>
      <w:r>
        <w:t xml:space="preserve">The consistent performance of our Telecommunication Engineer teams in Netherlands Amsterdam proves that specialized technical talent operating within regional business ecosystems delivers measurable competitive advantage. We recommend doubling down on this model – allocating 75% of our European engineering development budget to Netherlands Amsterdam initiatives – to maintain our market position as the preferred telecommunications engineering partner for Europe's most sophisticated digital landscape.</w:t>
      </w:r>
    </w:p>
    <w:p>
      <w:pPr>
        <w:pStyle w:val="BodyText"/>
      </w:pPr>
      <w:r>
        <w:rPr>
          <w:bCs/>
          <w:b/>
        </w:rPr>
        <w:t xml:space="preserve">Appendix:</w:t>
      </w:r>
      <w:r>
        <w:t xml:space="preserve"> </w:t>
      </w:r>
      <w:r>
        <w:t xml:space="preserve">Detailed regional sales breakdown, client testimonials from Amsterdam enterprises, and engineering compliance certification status available upon request.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Sales Report: Netherlands Amsterdam Market</dc:title>
  <dc:creator/>
  <dc:language>en</dc:language>
  <cp:keywords/>
  <dcterms:created xsi:type="dcterms:W3CDTF">2026-07-21T02:54:49Z</dcterms:created>
  <dcterms:modified xsi:type="dcterms:W3CDTF">2026-07-21T02:54:49Z</dcterms:modified>
</cp:coreProperties>
</file>

<file path=docProps/custom.xml><?xml version="1.0" encoding="utf-8"?>
<Properties xmlns="http://schemas.openxmlformats.org/officeDocument/2006/custom-properties" xmlns:vt="http://schemas.openxmlformats.org/officeDocument/2006/docPropsVTypes"/>
</file>