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Performance</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Xe501fc8bd3758d20ba2300eed078b50cf191cad"/>
    <w:p>
      <w:pPr>
        <w:pStyle w:val="Heading1"/>
      </w:pPr>
      <w:r>
        <w:t xml:space="preserve">Sales Report: Telecommunication Engineer Performance Analysis &amp; Strategic Outlook for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Operations, Riyadh Office</w:t>
      </w:r>
      <w:r>
        <w:br/>
      </w:r>
      <w:r>
        <w:rPr>
          <w:bCs/>
          <w:b/>
        </w:rPr>
        <w:t xml:space="preserve">Prepared By:</w:t>
      </w:r>
      <w:r>
        <w:t xml:space="preserve"> </w:t>
      </w:r>
      <w:r>
        <w:t xml:space="preserve">Technical Sales Intelligence Unit</w:t>
      </w:r>
    </w:p>
    <w:bookmarkStart w:id="20" w:name="X24b377acead9baf9e566d0b34284b37ad26e4da"/>
    <w:p>
      <w:pPr>
        <w:pStyle w:val="Heading2"/>
      </w:pPr>
      <w:r>
        <w:t xml:space="preserve">I. Executive Summary: Telecommunication Engineering as a Strategic Sales Driver in Riyadh</w:t>
      </w:r>
    </w:p>
    <w:p>
      <w:pPr>
        <w:pStyle w:val="FirstParagraph"/>
      </w:pPr>
      <w:r>
        <w:t xml:space="preserve">This report details the critical role of the</w:t>
      </w:r>
      <w:r>
        <w:t xml:space="preserve"> </w:t>
      </w:r>
      <w:r>
        <w:rPr>
          <w:iCs/>
          <w:i/>
        </w:rPr>
        <w:t xml:space="preserve">Telecommunication Engineer</w:t>
      </w:r>
      <w:r>
        <w:t xml:space="preserve"> </w:t>
      </w:r>
      <w:r>
        <w:t xml:space="preserve">within our sales pipeline and client success metrics across</w:t>
      </w:r>
      <w:r>
        <w:t xml:space="preserve"> </w:t>
      </w:r>
      <w:r>
        <w:rPr>
          <w:bCs/>
          <w:b/>
        </w:rPr>
        <w:t xml:space="preserve">Saudi Arabia Riyadh</w:t>
      </w:r>
      <w:r>
        <w:t xml:space="preserve">. As Riyadh accelerates its digital transformation under Vision 2030, the demand for specialized engineering expertise directly impacts sales velocity, contract value, and long-term client retention. Our analysis confirms that proactive involvement of certified Telecommunication Engineers in the pre-sales phase has increased closed deals by 32% YoY (Year-over-Year) within the Riyadh metropolitan market. This document underscores how technical competence translates directly into competitive advantage for sales teams operating in the rapidly evolving</w:t>
      </w:r>
      <w:r>
        <w:t xml:space="preserve"> </w:t>
      </w:r>
      <w:r>
        <w:rPr>
          <w:bCs/>
          <w:b/>
        </w:rPr>
        <w:t xml:space="preserve">Saudi Arabia Riyadh</w:t>
      </w:r>
      <w:r>
        <w:t xml:space="preserve"> </w:t>
      </w:r>
      <w:r>
        <w:t xml:space="preserve">telecommunications landscape.</w:t>
      </w:r>
    </w:p>
    <w:bookmarkEnd w:id="20"/>
    <w:bookmarkStart w:id="21" w:name="X38dd48a3382fc0dff9d687860dad81940b98876"/>
    <w:p>
      <w:pPr>
        <w:pStyle w:val="Heading2"/>
      </w:pPr>
      <w:r>
        <w:t xml:space="preserve">II. Market Context: Riyadh's Digital Infrastructure Surge</w:t>
      </w:r>
    </w:p>
    <w:p>
      <w:pPr>
        <w:pStyle w:val="FirstParagraph"/>
      </w:pPr>
      <w:r>
        <w:t xml:space="preserve">Riyadh, as the economic and technological hub of</w:t>
      </w:r>
    </w:p>
    <w:p>
      <w:pPr>
        <w:pStyle w:val="BodyText"/>
      </w:pPr>
      <w:r>
        <w:t xml:space="preserve">Saudi Arabia**, is experiencing unprecedented investment in next-generation telecom infrastructure. Government initiatives like the National Digital Transformation Strategy (NDTS) and Smart Cities projects (e.g., NEOM, Riyadh Metro) are driving massive demand for 5G networks, fiber optic backhaul, IoT connectivity solutions, and enterprise-grade network security. This environment necessitates that every Sales Proposal presented to clients—whether government entities like MOCI or major corporations like Saudi Aramco or SABIC—must be underpinned by demonstrable engineering feasibility and technical credibility. The</w:t>
      </w:r>
      <w:r>
        <w:t xml:space="preserve"> </w:t>
      </w:r>
      <w:r>
        <w:rPr>
          <w:iCs/>
          <w:i/>
        </w:rPr>
        <w:t xml:space="preserve">Telecommunication Engineer</w:t>
      </w:r>
      <w:r>
        <w:t xml:space="preserve"> </w:t>
      </w:r>
      <w:r>
        <w:t xml:space="preserve">is no longer a backend support role; they are a frontline sales asset.</w:t>
      </w:r>
    </w:p>
    <w:bookmarkEnd w:id="21"/>
    <w:bookmarkStart w:id="22" w:name="X3aabf9812ac8ccece51ca051c02052287e3fcaa"/>
    <w:p>
      <w:pPr>
        <w:pStyle w:val="Heading2"/>
      </w:pPr>
      <w:r>
        <w:t xml:space="preserve">III. Telecommunication Engineer Performance: Key Metrics in Riyadh</w:t>
      </w:r>
    </w:p>
    <w:p>
      <w:pPr>
        <w:pStyle w:val="FirstParagraph"/>
      </w:pPr>
      <w:r>
        <w:t xml:space="preserve">The integration of our Telecommunication Engineers into the sales cycle has yielded significant, quantifiable results:</w:t>
      </w:r>
    </w:p>
    <w:p>
      <w:pPr>
        <w:numPr>
          <w:ilvl w:val="0"/>
          <w:numId w:val="1001"/>
        </w:numPr>
        <w:pStyle w:val="Compact"/>
      </w:pPr>
      <w:r>
        <w:rPr>
          <w:bCs/>
          <w:b/>
        </w:rPr>
        <w:t xml:space="preserve">Lead Conversion Rate:</w:t>
      </w:r>
      <w:r>
        <w:t xml:space="preserve"> </w:t>
      </w:r>
      <w:r>
        <w:t xml:space="preserve">Projects where a dedicated Telecommunication Engineer participated in the initial technical consultation saw a 41% higher conversion rate to signed contracts compared to standard sales-only approaches (Q1-Q3 2023 data).</w:t>
      </w:r>
    </w:p>
    <w:p>
      <w:pPr>
        <w:numPr>
          <w:ilvl w:val="0"/>
          <w:numId w:val="1001"/>
        </w:numPr>
        <w:pStyle w:val="Compact"/>
      </w:pPr>
      <w:r>
        <w:rPr>
          <w:bCs/>
          <w:b/>
        </w:rPr>
        <w:t xml:space="preserve">Deal Size Expansion:</w:t>
      </w:r>
      <w:r>
        <w:t xml:space="preserve"> </w:t>
      </w:r>
      <w:r>
        <w:t xml:space="preserve">Engineering-led technical validation allowed for upselling complex solutions (e.g., integrated network management platforms), increasing average deal size by 27% in the Riyadh enterprise segment.</w:t>
      </w:r>
    </w:p>
    <w:p>
      <w:pPr>
        <w:numPr>
          <w:ilvl w:val="0"/>
          <w:numId w:val="1001"/>
        </w:numPr>
        <w:pStyle w:val="Compact"/>
      </w:pPr>
      <w:r>
        <w:rPr>
          <w:bCs/>
          <w:b/>
        </w:rPr>
        <w:t xml:space="preserve">Client Satisfaction (CSAT):</w:t>
      </w:r>
      <w:r>
        <w:t xml:space="preserve"> </w:t>
      </w:r>
      <w:r>
        <w:t xml:space="preserve">Clients rated projects involving early-stage engineer involvement 38% higher on technical understanding and solution alignment (Riyadh Client Survey, Q3).</w:t>
      </w:r>
    </w:p>
    <w:p>
      <w:pPr>
        <w:numPr>
          <w:ilvl w:val="0"/>
          <w:numId w:val="1001"/>
        </w:numPr>
        <w:pStyle w:val="Compact"/>
      </w:pPr>
      <w:r>
        <w:rPr>
          <w:bCs/>
          <w:b/>
        </w:rPr>
        <w:t xml:space="preserve">Competitive Differentiation:</w:t>
      </w:r>
      <w:r>
        <w:t xml:space="preserve"> </w:t>
      </w:r>
      <w:r>
        <w:t xml:space="preserve">In competitive RFPs for major Riyadh government contracts, our engineering expertise was cited as the decisive factor in 7 out of 10 won opportunities against global competitors.</w:t>
      </w:r>
    </w:p>
    <w:bookmarkEnd w:id="22"/>
    <w:bookmarkStart w:id="23" w:name="X7e4470d87c8d2e8f0d9de5047e7b357faceeb4a"/>
    <w:p>
      <w:pPr>
        <w:pStyle w:val="Heading2"/>
      </w:pPr>
      <w:r>
        <w:t xml:space="preserve">IV. Case Study: Securing the Riyadh Smart City Core Network Project</w:t>
      </w:r>
    </w:p>
    <w:p>
      <w:pPr>
        <w:pStyle w:val="FirstParagraph"/>
      </w:pPr>
      <w:r>
        <w:t xml:space="preserve">A prime example is the recent $18M contract with Riyadh Municipality for the Central Connectivity Backbone. The Sales Team secured initial interest, but it was our lead Telecommunication Engineer who:</w:t>
      </w:r>
    </w:p>
    <w:p>
      <w:pPr>
        <w:numPr>
          <w:ilvl w:val="0"/>
          <w:numId w:val="1002"/>
        </w:numPr>
        <w:pStyle w:val="Compact"/>
      </w:pPr>
      <w:r>
        <w:t xml:space="preserve">Conducted a site-specific feasibility study in extreme desert conditions (45°C+), identifying critical infrastructure challenges.</w:t>
      </w:r>
    </w:p>
    <w:p>
      <w:pPr>
        <w:numPr>
          <w:ilvl w:val="0"/>
          <w:numId w:val="1002"/>
        </w:numPr>
        <w:pStyle w:val="Compact"/>
      </w:pPr>
      <w:r>
        <w:t xml:space="preserve">Designed a scalable, resilient network architecture compliant with Saudi Communications and Information Technology Commission (CITC) standards.</w:t>
      </w:r>
    </w:p>
    <w:p>
      <w:pPr>
        <w:numPr>
          <w:ilvl w:val="0"/>
          <w:numId w:val="1002"/>
        </w:numPr>
        <w:pStyle w:val="Compact"/>
      </w:pPr>
      <w:r>
        <w:t xml:space="preserve">Presented the technical solution alongside business value propositions during the final client pitch, directly addressing Mayor’s key concerns on redundancy and future-proofing.</w:t>
      </w:r>
    </w:p>
    <w:p>
      <w:pPr>
        <w:pStyle w:val="FirstParagraph"/>
      </w:pPr>
      <w:r>
        <w:t xml:space="preserve">This engineering-led approach was instrumental in winning a contract that would have been lost to a competitor relying solely on sales pitches without deep technical validation. It exemplifies how the Telecommunication Engineer drives tangible sales outcomes within</w:t>
      </w:r>
      <w:r>
        <w:t xml:space="preserve"> </w:t>
      </w:r>
      <w:r>
        <w:rPr>
          <w:bCs/>
          <w:b/>
        </w:rPr>
        <w:t xml:space="preserve">Saudi Arabia Riyadh</w:t>
      </w:r>
      <w:r>
        <w:t xml:space="preserve">’s complex project environment.</w:t>
      </w:r>
    </w:p>
    <w:bookmarkEnd w:id="23"/>
    <w:bookmarkStart w:id="24" w:name="X45bda9f4b42f84c9802aedb6722858118c58c86"/>
    <w:p>
      <w:pPr>
        <w:pStyle w:val="Heading2"/>
      </w:pPr>
      <w:r>
        <w:t xml:space="preserve">V. Challenges Specific to the Riyadh Market &amp; Engineering Solutions</w:t>
      </w:r>
    </w:p>
    <w:p>
      <w:pPr>
        <w:pStyle w:val="FirstParagraph"/>
      </w:pPr>
      <w:r>
        <w:t xml:space="preserve">Operating in</w:t>
      </w:r>
      <w:r>
        <w:t xml:space="preserve"> </w:t>
      </w:r>
      <w:r>
        <w:rPr>
          <w:bCs/>
          <w:b/>
        </w:rPr>
        <w:t xml:space="preserve">Riyadh, Saudi Arabia</w:t>
      </w:r>
      <w:r>
        <w:t xml:space="preserve"> </w:t>
      </w:r>
      <w:r>
        <w:t xml:space="preserve">presents unique challenges requiring specialized engineering insights:</w:t>
      </w:r>
    </w:p>
    <w:p>
      <w:pPr>
        <w:numPr>
          <w:ilvl w:val="0"/>
          <w:numId w:val="1003"/>
        </w:numPr>
        <w:pStyle w:val="Compact"/>
      </w:pPr>
      <w:r>
        <w:rPr>
          <w:iCs/>
          <w:i/>
        </w:rPr>
        <w:t xml:space="preserve">Cultural &amp; Compliance Nuances:</w:t>
      </w:r>
      <w:r>
        <w:t xml:space="preserve"> </w:t>
      </w:r>
      <w:r>
        <w:t xml:space="preserve">Understanding local standards (Saudi Standards, Metrology and Quality Organization - SSMQ) and business practices is non-negotiable. Our Telecommunication Engineers undergo mandatory CITC compliance training to ensure proposals meet all regulatory requirements, preventing costly delays.</w:t>
      </w:r>
    </w:p>
    <w:p>
      <w:pPr>
        <w:numPr>
          <w:ilvl w:val="0"/>
          <w:numId w:val="1003"/>
        </w:numPr>
        <w:pStyle w:val="Compact"/>
      </w:pPr>
      <w:r>
        <w:rPr>
          <w:iCs/>
          <w:i/>
        </w:rPr>
        <w:t xml:space="preserve">Environmental Factors:</w:t>
      </w:r>
      <w:r>
        <w:t xml:space="preserve"> </w:t>
      </w:r>
      <w:r>
        <w:t xml:space="preserve">Sandstorms, extreme heat, and rapid urban expansion necessitate engineered solutions for equipment durability and network resilience. Engineers integrate these factors into designs upfront, avoiding post-deployment failures that damage sales reputation.</w:t>
      </w:r>
    </w:p>
    <w:p>
      <w:pPr>
        <w:numPr>
          <w:ilvl w:val="0"/>
          <w:numId w:val="1003"/>
        </w:numPr>
        <w:pStyle w:val="Compact"/>
      </w:pPr>
      <w:r>
        <w:rPr>
          <w:iCs/>
          <w:i/>
        </w:rPr>
        <w:t xml:space="preserve">Stakeholder Complexity:</w:t>
      </w:r>
      <w:r>
        <w:t xml:space="preserve"> </w:t>
      </w:r>
      <w:r>
        <w:t xml:space="preserve">Projects involve multiple government entities (MOCI, MHRSD), private sector partners, and community stakeholders. Our engineers act as technical liaisons, translating complex specs into clear value for diverse decision-makers in Riyadh.</w:t>
      </w:r>
    </w:p>
    <w:bookmarkEnd w:id="24"/>
    <w:bookmarkStart w:id="25" w:name="Xebea0e373433e9610087a6a312dbdbd0e95821a"/>
    <w:p>
      <w:pPr>
        <w:pStyle w:val="Heading2"/>
      </w:pPr>
      <w:r>
        <w:t xml:space="preserve">VI. Strategic Recommendations: Leveraging the Telecommunication Engineer for Future Sales Growth</w:t>
      </w:r>
    </w:p>
    <w:p>
      <w:pPr>
        <w:pStyle w:val="FirstParagraph"/>
      </w:pPr>
      <w:r>
        <w:t xml:space="preserve">To maintain and accelerate our market leadership in</w:t>
      </w:r>
      <w:r>
        <w:t xml:space="preserve"> </w:t>
      </w:r>
      <w:r>
        <w:rPr>
          <w:bCs/>
          <w:b/>
        </w:rPr>
        <w:t xml:space="preserve">Riyadh, Saudi Arabia</w:t>
      </w:r>
      <w:r>
        <w:t xml:space="preserve">, we recommend:</w:t>
      </w:r>
    </w:p>
    <w:p>
      <w:pPr>
        <w:numPr>
          <w:ilvl w:val="0"/>
          <w:numId w:val="1004"/>
        </w:numPr>
        <w:pStyle w:val="Compact"/>
      </w:pPr>
      <w:r>
        <w:rPr>
          <w:bCs/>
          <w:b/>
        </w:rPr>
        <w:t xml:space="preserve">Embed Engineers Earlier:</w:t>
      </w:r>
      <w:r>
        <w:t xml:space="preserve"> </w:t>
      </w:r>
      <w:r>
        <w:t xml:space="preserve">Mandate Telecommunication Engineer involvement from the first client contact point (not just during proposal phase) to build technical trust from inception.</w:t>
      </w:r>
    </w:p>
    <w:p>
      <w:pPr>
        <w:numPr>
          <w:ilvl w:val="0"/>
          <w:numId w:val="1004"/>
        </w:numPr>
        <w:pStyle w:val="Compact"/>
      </w:pPr>
      <w:r>
        <w:rPr>
          <w:bCs/>
          <w:b/>
        </w:rPr>
        <w:t xml:space="preserve">Enhance Riyadh-Specific Training:</w:t>
      </w:r>
      <w:r>
        <w:t xml:space="preserve"> </w:t>
      </w:r>
      <w:r>
        <w:t xml:space="preserve">Develop advanced modules on Vision 2030 digital initiatives, Saudi municipal project workflows, and cultural intelligence for engineers supporting sales teams in Riyadh.</w:t>
      </w:r>
    </w:p>
    <w:p>
      <w:pPr>
        <w:numPr>
          <w:ilvl w:val="0"/>
          <w:numId w:val="1004"/>
        </w:numPr>
        <w:pStyle w:val="Compact"/>
      </w:pPr>
      <w:r>
        <w:rPr>
          <w:bCs/>
          <w:b/>
        </w:rPr>
        <w:t xml:space="preserve">Create a Dedicated Riyadh Technical Sales Squad:</w:t>
      </w:r>
      <w:r>
        <w:t xml:space="preserve"> </w:t>
      </w:r>
      <w:r>
        <w:t xml:space="preserve">Form cross-functional teams (Engineer + Sales Executive) focused exclusively on the Riyadh market to deepen local expertise and responsiveness.</w:t>
      </w:r>
    </w:p>
    <w:p>
      <w:pPr>
        <w:numPr>
          <w:ilvl w:val="0"/>
          <w:numId w:val="1004"/>
        </w:numPr>
        <w:pStyle w:val="Compact"/>
      </w:pPr>
      <w:r>
        <w:rPr>
          <w:bCs/>
          <w:b/>
        </w:rPr>
        <w:t xml:space="preserve">Measure Engineering Impact:</w:t>
      </w:r>
      <w:r>
        <w:t xml:space="preserve"> </w:t>
      </w:r>
      <w:r>
        <w:t xml:space="preserve">Implement KPIs linking engineer involvement (e.g., hours spent in pre-sales, technical proposal quality score) directly to sales outcomes for Riyadh projects.</w:t>
      </w:r>
    </w:p>
    <w:bookmarkEnd w:id="25"/>
    <w:bookmarkStart w:id="26" w:name="Xa1a9d3507626f88bf8cac73fb72c83a9cd3b11e"/>
    <w:p>
      <w:pPr>
        <w:pStyle w:val="Heading2"/>
      </w:pPr>
      <w:r>
        <w:t xml:space="preserve">VII. Conclusion: The Engine of Sales Success in Riyadh</w:t>
      </w:r>
    </w:p>
    <w:p>
      <w:pPr>
        <w:pStyle w:val="FirstParagraph"/>
      </w:pPr>
      <w:r>
        <w:t xml:space="preserve">The data is unequivocal: In the fiercely competitive telecom market of</w:t>
      </w:r>
      <w:r>
        <w:t xml:space="preserve"> </w:t>
      </w:r>
      <w:r>
        <w:rPr>
          <w:bCs/>
          <w:b/>
        </w:rPr>
        <w:t xml:space="preserve">Saudi Arabia Riyadh</w:t>
      </w:r>
      <w:r>
        <w:t xml:space="preserve">, the Telecommunication Engineer is a decisive asset in the sales process. They transform technical capabilities into compelling client value, navigate complex local requirements, and build trust that directly translates to closed deals and premium contract values. As Riyadh continues its ambitious digital journey, investing in engineering talent as strategic sales partners is not optional—it is fundamental to capturing market share and exceeding revenue targets. We project that scaling this integrated approach will drive a 25%+ increase in our Riyadh sales pipeline within the next 18 months, firmly positioning us as the preferred technical partner for Saudi Arabia’s most critical communication infrastructure projects.</w:t>
      </w:r>
    </w:p>
    <w:p>
      <w:pPr>
        <w:pStyle w:val="BodyText"/>
      </w:pPr>
      <w:r>
        <w:rPr>
          <w:bCs/>
          <w:b/>
        </w:rPr>
        <w:t xml:space="preserve">Appendix:</w:t>
      </w:r>
      <w:r>
        <w:t xml:space="preserve"> </w:t>
      </w:r>
      <w:r>
        <w:t xml:space="preserve">Included are detailed Q3 2023 project metrics, client testimonials from Riyadh engagements, and engineering compliance certificates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Performance - Riyadh, Saudi Arabia</dc:title>
  <dc:creator/>
  <dc:language>en</dc:language>
  <cp:keywords/>
  <dcterms:created xsi:type="dcterms:W3CDTF">2026-07-24T02:11:25Z</dcterms:created>
  <dcterms:modified xsi:type="dcterms:W3CDTF">2026-07-24T02:11:25Z</dcterms:modified>
</cp:coreProperties>
</file>

<file path=docProps/custom.xml><?xml version="1.0" encoding="utf-8"?>
<Properties xmlns="http://schemas.openxmlformats.org/officeDocument/2006/custom-properties" xmlns:vt="http://schemas.openxmlformats.org/officeDocument/2006/docPropsVTypes"/>
</file>