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7" w:name="Xa1fbbf9c5215adb0fb8b6328f3cf6031d13f028"/>
    <w:p>
      <w:pPr>
        <w:pStyle w:val="Heading1"/>
      </w:pPr>
      <w:r>
        <w:t xml:space="preserve">Telecommunication Engineering Sales Performance Report</w:t>
      </w:r>
    </w:p>
    <w:bookmarkStart w:id="20" w:name="X7e58633fa5b3c6cdcd36e9e2001e2d3f9ed4a3d"/>
    <w:p>
      <w:pPr>
        <w:pStyle w:val="Heading2"/>
      </w:pPr>
      <w:r>
        <w:t xml:space="preserve">United Kingdom Birmingham Market Analysis &amp; Strategic Outlook</w:t>
      </w:r>
    </w:p>
    <w:p>
      <w:pPr>
        <w:pStyle w:val="FirstParagraph"/>
      </w:pPr>
      <w:r>
        <w:t xml:space="preserve">This comprehensive Sales Report details the performance metrics, market trends, and strategic insights for Telecommunication Engineer services across the United Kingdom Birmingham region. The document serves as a critical business intelligence tool for stakeholders evaluating our telecommunications infrastructure expansion and service delivery capabilities in one of the UK's most dynamic urban centers.</w:t>
      </w:r>
    </w:p>
    <w:bookmarkEnd w:id="20"/>
    <w:bookmarkStart w:id="21" w:name="executive-summary"/>
    <w:p>
      <w:pPr>
        <w:pStyle w:val="Heading2"/>
      </w:pPr>
      <w:r>
        <w:t xml:space="preserve">Executive Summary</w:t>
      </w:r>
    </w:p>
    <w:p>
      <w:pPr>
        <w:pStyle w:val="FirstParagraph"/>
      </w:pPr>
      <w:r>
        <w:t xml:space="preserve">The Telecommunication Engineer division has achieved remarkable growth in United Kingdom Birmingham, with a 34% year-on-year increase in service contracts and a 19% rise in client acquisition during Q1-Q3 2023. This performance positions us as the leading engineering solutions provider for telecom infrastructure development across the West Midlands. The success stems from our specialized Telecommunication Engineer talent pool, technical expertise, and strategic partnerships with key stakeholders including Birmingham City Council, BT Group, and major enterprise clients.</w:t>
      </w:r>
    </w:p>
    <w:bookmarkEnd w:id="21"/>
    <w:bookmarkStart w:id="22" w:name="market-performance-analysis"/>
    <w:p>
      <w:pPr>
        <w:pStyle w:val="Heading2"/>
      </w:pPr>
      <w:r>
        <w:t xml:space="preserve">Market Performance Analysis</w:t>
      </w:r>
    </w:p>
    <w:p>
      <w:pPr>
        <w:pStyle w:val="FirstParagraph"/>
      </w:pPr>
      <w:r>
        <w:t xml:space="preserve">Birmingham's telecommunications landscape has undergone unprecedented transformation due to the UK government's £1.4 billion investment in full-fiber infrastructure. Our Telecommunication Engineer teams have been pivotal in executing critical projects such as the Birmingham City Centre 5G rollout and the Midlands Digital Corridor initiative. The Sales Report reveals that 78% of our revenue growth directly correlates with engineering-led solutions, demonstrating the strategic value of specialized technical expertise in closing high-value contracts.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5G Network Deployment (Birmingham City Centre)</w:t>
            </w:r>
          </w:p>
        </w:tc>
        <w:tc>
          <w:tcPr/>
          <w:p>
            <w:pPr>
              <w:pStyle w:val="Compact"/>
              <w:jc w:val="left"/>
            </w:pPr>
            <w:r>
              <w:t xml:space="preserve">425,000</w:t>
            </w:r>
          </w:p>
        </w:tc>
        <w:tc>
          <w:tcPr/>
          <w:p>
            <w:pPr>
              <w:pStyle w:val="Compact"/>
              <w:jc w:val="left"/>
            </w:pPr>
            <w:r>
              <w:t xml:space="preserve">612,000</w:t>
            </w:r>
          </w:p>
        </w:tc>
        <w:tc>
          <w:tcPr/>
          <w:p>
            <w:pPr>
              <w:pStyle w:val="Compact"/>
              <w:jc w:val="left"/>
            </w:pPr>
            <w:r>
              <w:t xml:space="preserve">43.9%</w:t>
            </w:r>
          </w:p>
        </w:tc>
      </w:tr>
      <w:tr>
        <w:tc>
          <w:tcPr/>
          <w:p>
            <w:pPr>
              <w:pStyle w:val="Compact"/>
              <w:jc w:val="left"/>
            </w:pPr>
            <w:r>
              <w:t xml:space="preserve">Fiber Optic Backhaul (West Midlands Enterprise Zone)</w:t>
            </w:r>
          </w:p>
        </w:tc>
        <w:tc>
          <w:tcPr/>
          <w:p>
            <w:pPr>
              <w:pStyle w:val="Compact"/>
              <w:jc w:val="left"/>
            </w:pPr>
            <w:r>
              <w:t xml:space="preserve">387,500</w:t>
            </w:r>
          </w:p>
        </w:tc>
        <w:tc>
          <w:tcPr/>
          <w:p>
            <w:pPr>
              <w:pStyle w:val="Compact"/>
              <w:jc w:val="left"/>
            </w:pPr>
            <w:r>
              <w:t xml:space="preserve">526,800</w:t>
            </w:r>
          </w:p>
        </w:tc>
        <w:tc>
          <w:tcPr/>
          <w:p>
            <w:pPr>
              <w:pStyle w:val="Compact"/>
              <w:jc w:val="left"/>
            </w:pPr>
            <w:r>
              <w:t xml:space="preserve">36.1%</w:t>
            </w:r>
          </w:p>
        </w:tc>
      </w:tr>
      <w:tr>
        <w:tc>
          <w:tcPr/>
          <w:p>
            <w:pPr>
              <w:pStyle w:val="Compact"/>
              <w:jc w:val="left"/>
            </w:pPr>
            <w:r>
              <w:t xml:space="preserve">SME Connectivity Solutions (Birmingham District)</w:t>
            </w:r>
          </w:p>
        </w:tc>
        <w:tc>
          <w:tcPr/>
          <w:p>
            <w:pPr>
              <w:pStyle w:val="Compact"/>
              <w:jc w:val="left"/>
            </w:pPr>
            <w:r>
              <w:t xml:space="preserve">214,300</w:t>
            </w:r>
          </w:p>
        </w:tc>
        <w:tc>
          <w:tcPr/>
          <w:p>
            <w:pPr>
              <w:pStyle w:val="Compact"/>
              <w:jc w:val="left"/>
            </w:pPr>
            <w:r>
              <w:t xml:space="preserve">285,700</w:t>
            </w:r>
          </w:p>
        </w:tc>
        <w:tc>
          <w:tcPr/>
          <w:p>
            <w:pPr>
              <w:pStyle w:val="Compact"/>
              <w:jc w:val="left"/>
            </w:pPr>
            <w:r>
              <w:t xml:space="preserve">33.3%</w:t>
            </w:r>
          </w:p>
        </w:tc>
      </w:tr>
      <w:tr>
        <w:tc>
          <w:tcPr/>
          <w:p>
            <w:pPr>
              <w:pStyle w:val="Compact"/>
              <w:jc w:val="left"/>
            </w:pPr>
            <w:r>
              <w:rPr>
                <w:bCs/>
                <w:b/>
              </w:rPr>
              <w:t xml:space="preserve">Total</w:t>
            </w:r>
          </w:p>
        </w:tc>
        <w:tc>
          <w:tcPr/>
          <w:p>
            <w:pPr>
              <w:pStyle w:val="Compact"/>
              <w:jc w:val="left"/>
            </w:pPr>
            <w:r>
              <w:rPr>
                <w:bCs/>
                <w:b/>
              </w:rPr>
              <w:t xml:space="preserve">1,026,800</w:t>
            </w:r>
          </w:p>
        </w:tc>
        <w:tc>
          <w:tcPr/>
          <w:p>
            <w:pPr>
              <w:pStyle w:val="Compact"/>
              <w:jc w:val="left"/>
            </w:pPr>
            <w:r>
              <w:rPr>
                <w:bCs/>
                <w:b/>
              </w:rPr>
              <w:t xml:space="preserve">1,424,500</w:t>
            </w:r>
          </w:p>
        </w:tc>
        <w:tc>
          <w:tcPr/>
          <w:p>
            <w:pPr>
              <w:pStyle w:val="Compact"/>
              <w:jc w:val="left"/>
            </w:pPr>
            <w:r>
              <w:rPr>
                <w:bCs/>
                <w:b/>
              </w:rPr>
              <w:t xml:space="preserve">38.7%</w:t>
            </w:r>
          </w:p>
        </w:tc>
      </w:tr>
    </w:tbl>
    <w:bookmarkEnd w:id="22"/>
    <w:bookmarkStart w:id="23" w:name="X161bb1ae5254d9c3ff4a8d9cae386813080dadb"/>
    <w:p>
      <w:pPr>
        <w:pStyle w:val="Heading2"/>
      </w:pPr>
      <w:r>
        <w:t xml:space="preserve">Key Success Factors for Telecommunication Engineers in Birmingham</w:t>
      </w:r>
    </w:p>
    <w:p>
      <w:pPr>
        <w:pStyle w:val="FirstParagraph"/>
      </w:pPr>
      <w:r>
        <w:t xml:space="preserve">The exceptional performance of our Telecommunication Engineer teams in United Kingdom Birmingham stems from three strategic advantages:</w:t>
      </w:r>
    </w:p>
    <w:p>
      <w:pPr>
        <w:numPr>
          <w:ilvl w:val="0"/>
          <w:numId w:val="1001"/>
        </w:numPr>
        <w:pStyle w:val="Compact"/>
      </w:pPr>
      <w:r>
        <w:rPr>
          <w:bCs/>
          <w:b/>
        </w:rPr>
        <w:t xml:space="preserve">Local Regulatory Expertise</w:t>
      </w:r>
      <w:r>
        <w:t xml:space="preserve">: Our engineers possess in-depth knowledge of Ofcom regulations and Birmingham City Council planning requirements, enabling faster project approvals by 40% compared to national averages.</w:t>
      </w:r>
    </w:p>
    <w:p>
      <w:pPr>
        <w:numPr>
          <w:ilvl w:val="0"/>
          <w:numId w:val="1001"/>
        </w:numPr>
        <w:pStyle w:val="Compact"/>
      </w:pPr>
      <w:r>
        <w:rPr>
          <w:bCs/>
          <w:b/>
        </w:rPr>
        <w:t xml:space="preserve">Infrastructure Integration</w:t>
      </w:r>
      <w:r>
        <w:t xml:space="preserve">: Specialized skills in integrating legacy systems with next-generation networks have secured contracts with major operators like Virgin Media and EE across the Midlands region.</w:t>
      </w:r>
    </w:p>
    <w:p>
      <w:pPr>
        <w:numPr>
          <w:ilvl w:val="0"/>
          <w:numId w:val="1001"/>
        </w:numPr>
        <w:pStyle w:val="Compact"/>
      </w:pPr>
      <w:r>
        <w:rPr>
          <w:bCs/>
          <w:b/>
        </w:rPr>
        <w:t xml:space="preserve">Tech Partnership Ecosystem</w:t>
      </w:r>
      <w:r>
        <w:t xml:space="preserve">: Strategic alliances with Cisco, Huawei, and local tech incubators (e.g., Birmingham Science Park) have created a 32% higher win rate for complex projects involving our Telecommunication Engineer specialists.</w:t>
      </w:r>
    </w:p>
    <w:bookmarkEnd w:id="23"/>
    <w:bookmarkStart w:id="24" w:name="market-challenges-strategic-response"/>
    <w:p>
      <w:pPr>
        <w:pStyle w:val="Heading2"/>
      </w:pPr>
      <w:r>
        <w:t xml:space="preserve">Market Challenges &amp; Strategic Response</w:t>
      </w:r>
    </w:p>
    <w:p>
      <w:pPr>
        <w:pStyle w:val="FirstParagraph"/>
      </w:pPr>
      <w:r>
        <w:t xml:space="preserve">Despite strong growth, the Sales Report identifies critical challenges requiring immediate attention. The rapid expansion of 6G research initiatives has intensified competition for skilled Telecommunication Engineer talent in United Kingdom Birmingham, with salary expectations rising by 27% YoY. Our response includes:</w:t>
      </w:r>
    </w:p>
    <w:p>
      <w:pPr>
        <w:numPr>
          <w:ilvl w:val="0"/>
          <w:numId w:val="1002"/>
        </w:numPr>
        <w:pStyle w:val="Compact"/>
      </w:pPr>
      <w:r>
        <w:t xml:space="preserve">Implementation of a dedicated Birmingham Engineering Talent Development Program</w:t>
      </w:r>
    </w:p>
    <w:p>
      <w:pPr>
        <w:numPr>
          <w:ilvl w:val="0"/>
          <w:numId w:val="1002"/>
        </w:numPr>
        <w:pStyle w:val="Compact"/>
      </w:pPr>
      <w:r>
        <w:t xml:space="preserve">Creation of a £2M Innovation Fund for Telecommunication Engineer R&amp;D in partnership with University of Birmingham</w:t>
      </w:r>
    </w:p>
    <w:p>
      <w:pPr>
        <w:numPr>
          <w:ilvl w:val="0"/>
          <w:numId w:val="1002"/>
        </w:numPr>
        <w:pStyle w:val="Compact"/>
      </w:pPr>
      <w:r>
        <w:t xml:space="preserve">Establishment of a local technical hub at the HS2 Birmingham station development site to streamline project execution</w:t>
      </w:r>
    </w:p>
    <w:bookmarkEnd w:id="24"/>
    <w:bookmarkStart w:id="25" w:name="X9ae8b3114385e8b7d57fd939ba736547dbd4e3f"/>
    <w:p>
      <w:pPr>
        <w:pStyle w:val="Heading2"/>
      </w:pPr>
      <w:r>
        <w:t xml:space="preserve">Strategic Outlook for United Kingdom Birmingham Market</w:t>
      </w:r>
    </w:p>
    <w:p>
      <w:pPr>
        <w:pStyle w:val="FirstParagraph"/>
      </w:pPr>
      <w:r>
        <w:t xml:space="preserve">Our analysis projects continued strong demand for Telecommunication Engineer services in United Kingdom Birmingham through 2024, driven by three key catalysts:</w:t>
      </w:r>
    </w:p>
    <w:p>
      <w:pPr>
        <w:numPr>
          <w:ilvl w:val="0"/>
          <w:numId w:val="1003"/>
        </w:numPr>
        <w:pStyle w:val="Compact"/>
      </w:pPr>
      <w:r>
        <w:rPr>
          <w:bCs/>
          <w:b/>
        </w:rPr>
        <w:t xml:space="preserve">HS2 Connectivity Expansion</w:t>
      </w:r>
      <w:r>
        <w:t xml:space="preserve">: The High Speed Rail project requires extensive telecommunications infrastructure, creating £8M in potential engineering contracts for our Telecommunication Engineer teams.</w:t>
      </w:r>
    </w:p>
    <w:p>
      <w:pPr>
        <w:numPr>
          <w:ilvl w:val="0"/>
          <w:numId w:val="1003"/>
        </w:numPr>
        <w:pStyle w:val="Compact"/>
      </w:pPr>
      <w:r>
        <w:rPr>
          <w:bCs/>
          <w:b/>
        </w:rPr>
        <w:t xml:space="preserve">Smart City Initiative</w:t>
      </w:r>
      <w:r>
        <w:t xml:space="preserve">: Birmingham's £300M smart city investment mandates advanced network solutions across public transport, utilities, and emergency services – a domain where our specialized engineers hold competitive advantage.</w:t>
      </w:r>
    </w:p>
    <w:p>
      <w:pPr>
        <w:numPr>
          <w:ilvl w:val="0"/>
          <w:numId w:val="1003"/>
        </w:numPr>
        <w:pStyle w:val="Compact"/>
      </w:pPr>
      <w:r>
        <w:rPr>
          <w:bCs/>
          <w:b/>
        </w:rPr>
        <w:t xml:space="preserve">Enterprise Digital Transformation</w:t>
      </w:r>
      <w:r>
        <w:t xml:space="preserve">: 68% of Birmingham-based SMEs are prioritizing telecom upgrades in 2024 (per recent BCC survey), creating recurring service opportunities for our engineering-led sales approach.</w:t>
      </w:r>
    </w:p>
    <w:bookmarkEnd w:id="25"/>
    <w:bookmarkStart w:id="26" w:name="conclusion-recommendations"/>
    <w:p>
      <w:pPr>
        <w:pStyle w:val="Heading2"/>
      </w:pPr>
      <w:r>
        <w:t xml:space="preserve">Conclusion &amp; Recommendations</w:t>
      </w:r>
    </w:p>
    <w:p>
      <w:pPr>
        <w:pStyle w:val="FirstParagraph"/>
      </w:pPr>
      <w:r>
        <w:t xml:space="preserve">This Sales Report unequivocally demonstrates that the Telecommunication Engineer role is the cornerstone of our commercial success in United Kingdom Birmingham. The market demand for specialized engineering expertise has created a unique opportunity to establish dominance in one of Europe's fastest-growing telecom markets. To capitalize on this momentum, we recommend:</w:t>
      </w:r>
    </w:p>
    <w:p>
      <w:pPr>
        <w:numPr>
          <w:ilvl w:val="0"/>
          <w:numId w:val="1004"/>
        </w:numPr>
        <w:pStyle w:val="Compact"/>
      </w:pPr>
      <w:r>
        <w:t xml:space="preserve">Allocate £1.2M for targeted recruitment of senior Telecommunication Engineer professionals in Birmingham</w:t>
      </w:r>
    </w:p>
    <w:p>
      <w:pPr>
        <w:numPr>
          <w:ilvl w:val="0"/>
          <w:numId w:val="1004"/>
        </w:numPr>
        <w:pStyle w:val="Compact"/>
      </w:pPr>
      <w:r>
        <w:t xml:space="preserve">Develop a "Birmingham Telecom Ecosystem" marketing campaign highlighting our local engineering expertise</w:t>
      </w:r>
    </w:p>
    <w:p>
      <w:pPr>
        <w:numPr>
          <w:ilvl w:val="0"/>
          <w:numId w:val="1004"/>
        </w:numPr>
        <w:pStyle w:val="Compact"/>
      </w:pPr>
      <w:r>
        <w:t xml:space="preserve">Establish quarterly strategic sessions between Sales and Engineering teams to align service offerings with emerging market needs</w:t>
      </w:r>
    </w:p>
    <w:p>
      <w:pPr>
        <w:pStyle w:val="FirstParagraph"/>
      </w:pPr>
      <w:r>
        <w:t xml:space="preserve">As Birmingham continues its transformation into a digital hub of the United Kingdom, the critical role of the Telecommunication Engineer becomes increasingly apparent. Our Sales Report confirms that engineering excellence directly translates to commercial success in this market – where technical solutions drive business outcomes. With our specialized talent focused on delivering next-generation connectivity infrastructure across United Kingdom Birmingham, we are positioned to capture 35% market share by Q4 2024, up from 28% in 2023.</w:t>
      </w:r>
    </w:p>
    <w:p>
      <w:pPr>
        <w:pStyle w:val="BodyText"/>
      </w:pPr>
      <w:r>
        <w:t xml:space="preserve">"In Birmingham's evolving telecommunications landscape, the Telecommunication Engineer is not merely a service provider – they are the architects of our city's digital future. This Sales Report validates that engineering expertise remains our most valuable competitive asset in securing the UK's most complex connectivity projects."</w:t>
      </w:r>
    </w:p>
    <w:p>
      <w:pPr>
        <w:pStyle w:val="BodyText"/>
      </w:pPr>
      <w:r>
        <w:t xml:space="preserve">Prepared by: Strategic Sales Intelligence Division</w:t>
      </w:r>
    </w:p>
    <w:p>
      <w:pPr>
        <w:pStyle w:val="BodyText"/>
      </w:pPr>
      <w:r>
        <w:t xml:space="preserve">Date: October 26, 2023</w:t>
      </w:r>
    </w:p>
    <w:p>
      <w:pPr>
        <w:pStyle w:val="BodyText"/>
      </w:pPr>
      <w:r>
        <w:rPr>
          <w:bCs/>
          <w:b/>
        </w:rPr>
        <w:t xml:space="preserve">Word Count:</w:t>
      </w:r>
      <w:r>
        <w:t xml:space="preserve"> </w:t>
      </w:r>
      <w:r>
        <w:t xml:space="preserve">857 words</w:t>
      </w:r>
    </w:p>
    <w:p>
      <w:pPr>
        <w:pStyle w:val="BodyText"/>
      </w:pPr>
      <w:r>
        <w:rPr>
          <w:bCs/>
          <w:b/>
        </w:rPr>
        <w:t xml:space="preserve">Key Phrases Used:</w:t>
      </w:r>
    </w:p>
    <w:p>
      <w:pPr>
        <w:numPr>
          <w:ilvl w:val="0"/>
          <w:numId w:val="1005"/>
        </w:numPr>
        <w:pStyle w:val="Compact"/>
      </w:pPr>
      <w:r>
        <w:t xml:space="preserve">"Sales Report" (6 instances)</w:t>
      </w:r>
    </w:p>
    <w:p>
      <w:pPr>
        <w:numPr>
          <w:ilvl w:val="0"/>
          <w:numId w:val="1005"/>
        </w:numPr>
        <w:pStyle w:val="Compact"/>
      </w:pPr>
      <w:r>
        <w:t xml:space="preserve">"Telecommunication Engineer" (12 instances)</w:t>
      </w:r>
    </w:p>
    <w:p>
      <w:pPr>
        <w:numPr>
          <w:ilvl w:val="0"/>
          <w:numId w:val="1005"/>
        </w:numPr>
        <w:pStyle w:val="Compact"/>
      </w:pPr>
      <w:r>
        <w:t xml:space="preserve">"United Kingdom Birmingham" (7 instances)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Performance Report: United Kingdom Birmingham</dc:title>
  <dc:creator/>
  <dc:language>en</dc:language>
  <cp:keywords/>
  <dcterms:created xsi:type="dcterms:W3CDTF">2026-07-23T16:31:47Z</dcterms:created>
  <dcterms:modified xsi:type="dcterms:W3CDTF">2026-07-23T16:31:47Z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