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Germany</w:t>
      </w:r>
      <w:r>
        <w:t xml:space="preserve"> </w:t>
      </w:r>
      <w:r>
        <w:t xml:space="preserve">Berlin</w:t>
      </w:r>
    </w:p>
    <w:bookmarkStart w:id="27" w:name="X5261f50261235853040330532c6637bc1cff52d"/>
    <w:p>
      <w:pPr>
        <w:pStyle w:val="Heading1"/>
      </w:pPr>
      <w:r>
        <w:t xml:space="preserve">Comprehensive Sales Report: Translator Interpreter Services in Germany Berlin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Global Language Solutions GmbH</w:t>
      </w:r>
      <w:r>
        <w:br/>
      </w:r>
      <w:r>
        <w:rPr>
          <w:bCs/>
          <w:b/>
        </w:rPr>
        <w:t xml:space="preserve">Purpose:</w:t>
      </w:r>
      <w:r>
        <w:t xml:space="preserve"> </w:t>
      </w:r>
      <w:r>
        <w:t xml:space="preserve">Analysis of Translator Interpreter Service Sales Performance in Berlin, Germany</w:t>
      </w:r>
    </w:p>
    <w:bookmarkStart w:id="20" w:name="executive-summary"/>
    <w:p>
      <w:pPr>
        <w:pStyle w:val="Heading2"/>
      </w:pPr>
      <w:r>
        <w:t xml:space="preserve">Executive Summary</w:t>
      </w:r>
    </w:p>
    <w:p>
      <w:pPr>
        <w:pStyle w:val="FirstParagraph"/>
      </w:pPr>
      <w:r>
        <w:t xml:space="preserve">This Sales Report details the performance of our Translator Interpreter services across Germany Berlin during Q3 2023. The Berlin market has demonstrated remarkable growth potential for language solutions, driven by its status as a global hub for diplomacy, business, and cultural exchange. Our sales team achieved a 17% year-over-year increase in Translator Interpreter service contracts within Germany Berlin, securing €1.85M in revenue – exceeding our quarterly target by 9%. This report analyzes market dynamics, identifies strategic opportunities, and outlines growth initiatives specifically tailored for the Berlin landscape.</w:t>
      </w:r>
    </w:p>
    <w:bookmarkEnd w:id="20"/>
    <w:bookmarkStart w:id="21" w:name="X476f29ced27750684951c496a71ed68a781d1d4"/>
    <w:p>
      <w:pPr>
        <w:pStyle w:val="Heading2"/>
      </w:pPr>
      <w:r>
        <w:t xml:space="preserve">Market Analysis: The Berlin Demand Landscape</w:t>
      </w:r>
    </w:p>
    <w:p>
      <w:pPr>
        <w:pStyle w:val="FirstParagraph"/>
      </w:pPr>
      <w:r>
        <w:t xml:space="preserve">Berlin's position as Germany's political capital and a magnet for international businesses creates unparalleled demand for professional Translator Interpreter services. With over 150 foreign embassies, 78 multinational corporations headquartered in Berlin (including major tech and automotive firms), and a vibrant immigrant community representing 35% of the population, the city operates in a linguistically complex environment. Our market research indicates that:</w:t>
      </w:r>
    </w:p>
    <w:p>
      <w:pPr>
        <w:numPr>
          <w:ilvl w:val="0"/>
          <w:numId w:val="1001"/>
        </w:numPr>
        <w:pStyle w:val="Compact"/>
      </w:pPr>
      <w:r>
        <w:t xml:space="preserve">Legal translation services grew by 22% YoY due to new EU regulations</w:t>
      </w:r>
    </w:p>
    <w:p>
      <w:pPr>
        <w:numPr>
          <w:ilvl w:val="0"/>
          <w:numId w:val="1001"/>
        </w:numPr>
        <w:pStyle w:val="Compact"/>
      </w:pPr>
      <w:r>
        <w:t xml:space="preserve">Simultaneous interpretation for international conferences increased by 31%</w:t>
      </w:r>
    </w:p>
    <w:p>
      <w:pPr>
        <w:numPr>
          <w:ilvl w:val="0"/>
          <w:numId w:val="1001"/>
        </w:numPr>
        <w:pStyle w:val="Compact"/>
      </w:pPr>
      <w:r>
        <w:t xml:space="preserve">Business translation requests rose 19% following Berlin's expansion as a fintech hub</w:t>
      </w:r>
    </w:p>
    <w:p>
      <w:pPr>
        <w:pStyle w:val="FirstParagraph"/>
      </w:pPr>
      <w:r>
        <w:t xml:space="preserve">This demand pattern underscores Berlin's unique need for specialized Translator Interpreter solutions that navigate both technical jargon and cultural nuance – a capability we've strategically positioned our team to deliver.</w:t>
      </w:r>
    </w:p>
    <w:bookmarkEnd w:id="21"/>
    <w:bookmarkStart w:id="22" w:name="Xf254f912423e87fc6ca3b421b5608531aa0f693"/>
    <w:p>
      <w:pPr>
        <w:pStyle w:val="Heading2"/>
      </w:pPr>
      <w:r>
        <w:t xml:space="preserve">Quarterly Sales Performance: Germany Berlin Focus</w:t>
      </w:r>
    </w:p>
    <w:p>
      <w:pPr>
        <w:pStyle w:val="FirstParagraph"/>
      </w:pPr>
      <w:r>
        <w:t xml:space="preserve">Our sales metrics for Berlin-based Translator Interpreter services reveal exceptional growth drivers: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2022 Revenue (€)</w:t>
            </w:r>
          </w:p>
        </w:tc>
        <w:tc>
          <w:tcPr/>
          <w:p>
            <w:pPr>
              <w:pStyle w:val="Compact"/>
              <w:jc w:val="left"/>
            </w:pPr>
            <w:r>
              <w:t xml:space="preserve">Q3 2023 Revenue (€)</w:t>
            </w:r>
          </w:p>
        </w:tc>
        <w:tc>
          <w:tcPr/>
          <w:p>
            <w:pPr>
              <w:pStyle w:val="Compact"/>
              <w:jc w:val="left"/>
            </w:pPr>
            <w:r>
              <w:t xml:space="preserve">% Change</w:t>
            </w:r>
          </w:p>
        </w:tc>
      </w:tr>
      <w:tr>
        <w:tc>
          <w:tcPr/>
          <w:p>
            <w:pPr>
              <w:pStyle w:val="Compact"/>
              <w:jc w:val="left"/>
            </w:pPr>
            <w:r>
              <w:t xml:space="preserve">Business Translation</w:t>
            </w:r>
          </w:p>
        </w:tc>
        <w:tc>
          <w:tcPr/>
          <w:p>
            <w:pPr>
              <w:pStyle w:val="Compact"/>
              <w:jc w:val="left"/>
            </w:pPr>
            <w:r>
              <w:t xml:space="preserve">415,000</w:t>
            </w:r>
          </w:p>
        </w:tc>
        <w:tc>
          <w:tcPr/>
          <w:p>
            <w:pPr>
              <w:pStyle w:val="Compact"/>
              <w:jc w:val="left"/>
            </w:pPr>
            <w:r>
              <w:t xml:space="preserve">568,200</w:t>
            </w:r>
          </w:p>
        </w:tc>
        <w:tc>
          <w:tcPr/>
          <w:p>
            <w:pPr>
              <w:pStyle w:val="Compact"/>
              <w:jc w:val="left"/>
            </w:pPr>
            <w:r>
              <w:t xml:space="preserve">+36.9%</w:t>
            </w:r>
          </w:p>
        </w:tc>
      </w:tr>
      <w:tr>
        <w:tc>
          <w:tcPr/>
          <w:p>
            <w:pPr>
              <w:pStyle w:val="Compact"/>
              <w:jc w:val="left"/>
            </w:pPr>
            <w:r>
              <w:t xml:space="preserve">Simultaneous Interpretation</w:t>
            </w:r>
          </w:p>
        </w:tc>
        <w:tc>
          <w:tcPr/>
          <w:p>
            <w:pPr>
              <w:pStyle w:val="Compact"/>
              <w:jc w:val="left"/>
            </w:pPr>
            <w:r>
              <w:t xml:space="preserve">327,500</w:t>
            </w:r>
          </w:p>
        </w:tc>
        <w:tc>
          <w:tcPr/>
          <w:p>
            <w:pPr>
              <w:pStyle w:val="Compact"/>
              <w:jc w:val="left"/>
            </w:pPr>
            <w:r>
              <w:t xml:space="preserve">419,800</w:t>
            </w:r>
          </w:p>
        </w:tc>
        <w:tc>
          <w:tcPr/>
          <w:p>
            <w:pPr>
              <w:pStyle w:val="Compact"/>
              <w:jc w:val="left"/>
            </w:pPr>
            <w:r>
              <w:t xml:space="preserve">+28.1%</w:t>
            </w:r>
          </w:p>
        </w:tc>
      </w:tr>
      <w:tr>
        <w:tc>
          <w:tcPr/>
          <w:p>
            <w:pPr>
              <w:pStyle w:val="Compact"/>
              <w:jc w:val="left"/>
            </w:pPr>
            <w:r>
              <w:t xml:space="preserve">Legal Translation &amp; Certification</w:t>
            </w:r>
          </w:p>
        </w:tc>
        <w:tc>
          <w:tcPr/>
          <w:p>
            <w:pPr>
              <w:pStyle w:val="Compact"/>
              <w:jc w:val="left"/>
            </w:pPr>
            <w:r>
              <w:t xml:space="preserve">289,000</w:t>
            </w:r>
          </w:p>
        </w:tc>
        <w:tc>
          <w:tcPr/>
          <w:p>
            <w:pPr>
              <w:pStyle w:val="Compact"/>
              <w:jc w:val="left"/>
            </w:pPr>
            <w:r>
              <w:t xml:space="preserve">376,500</w:t>
            </w:r>
          </w:p>
        </w:tc>
        <w:tc>
          <w:tcPr/>
          <w:p>
            <w:pPr>
              <w:pStyle w:val="Compact"/>
              <w:jc w:val="left"/>
            </w:pPr>
            <w:r>
              <w:t xml:space="preserve">+30.3%</w:t>
            </w:r>
          </w:p>
        </w:tc>
      </w:tr>
      <w:tr>
        <w:tc>
          <w:tcPr/>
          <w:p>
            <w:pPr>
              <w:pStyle w:val="Compact"/>
              <w:jc w:val="left"/>
            </w:pPr>
            <w:r>
              <w:t xml:space="preserve">Technical Translation (Engineering)</w:t>
            </w:r>
          </w:p>
        </w:tc>
        <w:tc>
          <w:tcPr/>
          <w:p>
            <w:pPr>
              <w:pStyle w:val="Compact"/>
              <w:jc w:val="left"/>
            </w:pPr>
            <w:r>
              <w:t xml:space="preserve">192,500</w:t>
            </w:r>
          </w:p>
        </w:tc>
        <w:tc>
          <w:tcPr/>
          <w:p>
            <w:pPr>
              <w:pStyle w:val="Compact"/>
              <w:jc w:val="left"/>
            </w:pPr>
            <w:r>
              <w:t xml:space="preserve">284,350</w:t>
            </w:r>
          </w:p>
        </w:tc>
        <w:tc>
          <w:tcPr/>
          <w:p>
            <w:pPr>
              <w:pStyle w:val="Compact"/>
              <w:jc w:val="left"/>
            </w:pPr>
            <w:r>
              <w:t xml:space="preserve">+47.6%</w:t>
            </w:r>
          </w:p>
        </w:tc>
      </w:tr>
    </w:tbl>
    <w:p>
      <w:pPr>
        <w:pStyle w:val="BodyText"/>
      </w:pPr>
      <w:r>
        <w:t xml:space="preserve">The 47.6% surge in technical translation for Berlin's automotive and engineering sectors (including major clients like Mercedes-Benz R&amp;D and Siemens Mobility) reflects our specialized approach to industry-specific Translator Interpreter services. Notably, we secured three major long-term contracts with Berlin-based startups expanding into Eastern Europe – a testament to our ability to deliver contextually accurate translations for emerging market entry.</w:t>
      </w:r>
    </w:p>
    <w:bookmarkEnd w:id="22"/>
    <w:bookmarkStart w:id="23" w:name="key-sales-drivers-in-germany-berlin"/>
    <w:p>
      <w:pPr>
        <w:pStyle w:val="Heading2"/>
      </w:pPr>
      <w:r>
        <w:t xml:space="preserve">Key Sales Drivers in Germany Berlin</w:t>
      </w:r>
    </w:p>
    <w:p>
      <w:pPr>
        <w:pStyle w:val="FirstParagraph"/>
      </w:pPr>
      <w:r>
        <w:t xml:space="preserve">Several factors uniquely position our Translator Interpreter services for success in the Berlin market:</w:t>
      </w:r>
    </w:p>
    <w:p>
      <w:pPr>
        <w:numPr>
          <w:ilvl w:val="0"/>
          <w:numId w:val="1002"/>
        </w:numPr>
        <w:pStyle w:val="Compact"/>
      </w:pPr>
      <w:r>
        <w:rPr>
          <w:bCs/>
          <w:b/>
        </w:rPr>
        <w:t xml:space="preserve">Diplomatic Infrastructure:</w:t>
      </w:r>
      <w:r>
        <w:t xml:space="preserve"> </w:t>
      </w:r>
      <w:r>
        <w:t xml:space="preserve">Consistent demand from German Foreign Office and EU institutions requires certified translators with security clearances – an area where we've built a 100% compliance record.</w:t>
      </w:r>
    </w:p>
    <w:p>
      <w:pPr>
        <w:numPr>
          <w:ilvl w:val="0"/>
          <w:numId w:val="1002"/>
        </w:numPr>
        <w:pStyle w:val="Compact"/>
      </w:pPr>
      <w:r>
        <w:rPr>
          <w:bCs/>
          <w:b/>
        </w:rPr>
        <w:t xml:space="preserve">Immigrant Integration Services:</w:t>
      </w:r>
      <w:r>
        <w:t xml:space="preserve"> </w:t>
      </w:r>
      <w:r>
        <w:t xml:space="preserve">Partnerships with Berlin city government for refugee support programs generated €215,000 in new contracts for social services interpretation.</w:t>
      </w:r>
    </w:p>
    <w:p>
      <w:pPr>
        <w:numPr>
          <w:ilvl w:val="0"/>
          <w:numId w:val="1002"/>
        </w:numPr>
        <w:pStyle w:val="Compact"/>
      </w:pPr>
      <w:r>
        <w:rPr>
          <w:bCs/>
          <w:b/>
        </w:rPr>
        <w:t xml:space="preserve">Cultural Nuance Expertise:</w:t>
      </w:r>
      <w:r>
        <w:t xml:space="preserve"> </w:t>
      </w:r>
      <w:r>
        <w:t xml:space="preserve">Our Berlin-based linguists (87% native speakers of target languages) understand local colloquialisms – crucial for client success in the German capital's business culture.</w:t>
      </w:r>
    </w:p>
    <w:bookmarkEnd w:id="23"/>
    <w:bookmarkStart w:id="24" w:name="challenges-and-strategic-response"/>
    <w:p>
      <w:pPr>
        <w:pStyle w:val="Heading2"/>
      </w:pPr>
      <w:r>
        <w:t xml:space="preserve">Challenges and Strategic Response</w:t>
      </w:r>
    </w:p>
    <w:p>
      <w:pPr>
        <w:pStyle w:val="FirstParagraph"/>
      </w:pPr>
      <w:r>
        <w:t xml:space="preserve">Despite strong growth, we identified three critical challenges requiring immediate action for sustained Translator Interpreter service dominance in Germany Berlin:</w:t>
      </w:r>
    </w:p>
    <w:p>
      <w:pPr>
        <w:numPr>
          <w:ilvl w:val="0"/>
          <w:numId w:val="1003"/>
        </w:numPr>
        <w:pStyle w:val="Compact"/>
      </w:pPr>
      <w:r>
        <w:rPr>
          <w:bCs/>
          <w:b/>
        </w:rPr>
        <w:t xml:space="preserve">Talent Shortage:</w:t>
      </w:r>
      <w:r>
        <w:t xml:space="preserve"> </w:t>
      </w:r>
      <w:r>
        <w:t xml:space="preserve">Competition for certified German-English interpreters in Berlin increased by 42% year-over-year. Our response: Launched a targeted recruitment drive with Berlin University partnerships, adding 15 new certified linguists to our roster.</w:t>
      </w:r>
    </w:p>
    <w:p>
      <w:pPr>
        <w:numPr>
          <w:ilvl w:val="0"/>
          <w:numId w:val="1003"/>
        </w:numPr>
        <w:pStyle w:val="Compact"/>
      </w:pPr>
      <w:r>
        <w:rPr>
          <w:bCs/>
          <w:b/>
        </w:rPr>
        <w:t xml:space="preserve">Technology Integration:</w:t>
      </w:r>
      <w:r>
        <w:t xml:space="preserve"> </w:t>
      </w:r>
      <w:r>
        <w:t xml:space="preserve">Client requests for AI-assisted translation tools rose 63%. We developed a customized Berlin-specific language database (B-Lex) for frequent industry terms used in German capital's business environment.</w:t>
      </w:r>
    </w:p>
    <w:p>
      <w:pPr>
        <w:numPr>
          <w:ilvl w:val="0"/>
          <w:numId w:val="1003"/>
        </w:numPr>
        <w:pStyle w:val="Compact"/>
      </w:pPr>
      <w:r>
        <w:rPr>
          <w:bCs/>
          <w:b/>
        </w:rPr>
        <w:t xml:space="preserve">Compliance Complexity:</w:t>
      </w:r>
      <w:r>
        <w:t xml:space="preserve"> </w:t>
      </w:r>
      <w:r>
        <w:t xml:space="preserve">New GDPR data handling regulations required translator certification updates. Our sales team now includes compliance specialists who guide clients through documentation – reducing onboarding time by 30%.</w:t>
      </w:r>
    </w:p>
    <w:bookmarkEnd w:id="24"/>
    <w:bookmarkStart w:id="25" w:name="Xc2e50cb8b6cc64ff26fc660adee4117d726eef8"/>
    <w:p>
      <w:pPr>
        <w:pStyle w:val="Heading2"/>
      </w:pPr>
      <w:r>
        <w:t xml:space="preserve">Future Growth Strategy: Berlin-Centric Initiatives</w:t>
      </w:r>
    </w:p>
    <w:p>
      <w:pPr>
        <w:pStyle w:val="FirstParagraph"/>
      </w:pPr>
      <w:r>
        <w:t xml:space="preserve">To capitalize on Berlin's unique market dynamics, we propose three priority initiatives for the upcoming quarter:</w:t>
      </w:r>
    </w:p>
    <w:p>
      <w:pPr>
        <w:numPr>
          <w:ilvl w:val="0"/>
          <w:numId w:val="1004"/>
        </w:numPr>
        <w:pStyle w:val="Compact"/>
      </w:pPr>
      <w:r>
        <w:rPr>
          <w:bCs/>
          <w:b/>
        </w:rPr>
        <w:t xml:space="preserve">Establish a Berlin Innovation Hub:</w:t>
      </w:r>
      <w:r>
        <w:t xml:space="preserve"> </w:t>
      </w:r>
      <w:r>
        <w:t xml:space="preserve">Create a physical service center in Kreuzberg to provide on-site Translator Interpreter support for major events like ITB Berlin and IFA – anticipated to generate €500K+ in new revenue.</w:t>
      </w:r>
    </w:p>
    <w:p>
      <w:pPr>
        <w:numPr>
          <w:ilvl w:val="0"/>
          <w:numId w:val="1004"/>
        </w:numPr>
        <w:pStyle w:val="Compact"/>
      </w:pPr>
      <w:r>
        <w:rPr>
          <w:bCs/>
          <w:b/>
        </w:rPr>
        <w:t xml:space="preserve">Sector-Specific Solution Packages:</w:t>
      </w:r>
      <w:r>
        <w:t xml:space="preserve"> </w:t>
      </w:r>
      <w:r>
        <w:t xml:space="preserve">Develop specialized Translator Interpreter bundles for Berlin's key industries: Automotive (with BMW Group), Fintech (Berlin Startup Scene), and Creative Industries (Film/Arts). Early pilot with 3 major film studios secured €120K in pre-orders.</w:t>
      </w:r>
    </w:p>
    <w:p>
      <w:pPr>
        <w:numPr>
          <w:ilvl w:val="0"/>
          <w:numId w:val="1004"/>
        </w:numPr>
        <w:pStyle w:val="Compact"/>
      </w:pPr>
      <w:r>
        <w:rPr>
          <w:bCs/>
          <w:b/>
        </w:rPr>
        <w:t xml:space="preserve">Government Partnership Program:</w:t>
      </w:r>
      <w:r>
        <w:t xml:space="preserve"> </w:t>
      </w:r>
      <w:r>
        <w:t xml:space="preserve">Formalize collaboration with Berlin's International Office for business development to become their preferred language service provider – projected to secure €350K annually from public sector contracts.</w:t>
      </w:r>
    </w:p>
    <w:bookmarkEnd w:id="25"/>
    <w:bookmarkStart w:id="26" w:name="conclusion"/>
    <w:p>
      <w:pPr>
        <w:pStyle w:val="Heading2"/>
      </w:pPr>
      <w:r>
        <w:t xml:space="preserve">Conclusion</w:t>
      </w:r>
    </w:p>
    <w:p>
      <w:pPr>
        <w:pStyle w:val="FirstParagraph"/>
      </w:pPr>
      <w:r>
        <w:t xml:space="preserve">The Germany Berlin market has proven itself as the most dynamic growth engine for our Translator Interpreter services globally. Our Q3 results demonstrate that specialized, locally attuned language solutions command premium pricing and exceptional client retention (94% renewal rate in Berlin). As Berlin continues to evolve as Europe's premier multicultural business capital, the strategic integration of our Translator Interpreter capabilities with city-specific market needs will remain paramount.</w:t>
      </w:r>
    </w:p>
    <w:p>
      <w:pPr>
        <w:pStyle w:val="BodyText"/>
      </w:pPr>
      <w:r>
        <w:t xml:space="preserve">We recommend allocating 25% of our 2024 R&amp;D budget toward Berlin-centric language technology development and expanding our local sales team by 30%. With these investments, we project a conservative 35% revenue increase for Translator Interpreter services in Germany Berlin by Q1 2024 – further solidifying our position as the market leader. The success of this Sales Report underscores that in Berlin's fast-paced environment, linguistic precision is not merely a service – it's the cornerstone of international business success.</w:t>
      </w:r>
    </w:p>
    <w:p>
      <w:pPr>
        <w:pStyle w:val="BodyText"/>
      </w:pPr>
      <w:r>
        <w:rPr>
          <w:bCs/>
          <w:b/>
        </w:rPr>
        <w:t xml:space="preserve">Prepared By:</w:t>
      </w:r>
      <w:r>
        <w:t xml:space="preserve"> </w:t>
      </w:r>
      <w:r>
        <w:t xml:space="preserve">Global Language Solutions Sales Intelligence Unit</w:t>
      </w:r>
      <w:r>
        <w:br/>
      </w:r>
      <w:r>
        <w:rPr>
          <w:bCs/>
          <w:b/>
        </w:rPr>
        <w:t xml:space="preserve">Confidentiality:</w:t>
      </w:r>
      <w:r>
        <w:t xml:space="preserve"> </w:t>
      </w:r>
      <w:r>
        <w:t xml:space="preserve">This document contains proprietary sales data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Translator Interpreter Services in Germany Berlin</dc:title>
  <dc:creator/>
  <dc:language>en</dc:language>
  <cp:keywords/>
  <dcterms:created xsi:type="dcterms:W3CDTF">2026-07-20T01:27:57Z</dcterms:created>
  <dcterms:modified xsi:type="dcterms:W3CDTF">2026-07-20T01:27:57Z</dcterms:modified>
</cp:coreProperties>
</file>

<file path=docProps/custom.xml><?xml version="1.0" encoding="utf-8"?>
<Properties xmlns="http://schemas.openxmlformats.org/officeDocument/2006/custom-properties" xmlns:vt="http://schemas.openxmlformats.org/officeDocument/2006/docPropsVTypes"/>
</file>