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dfe32816be49713bb46430dad5d21602dde9008"/>
    <w:p>
      <w:pPr>
        <w:pStyle w:val="Heading1"/>
      </w:pPr>
      <w:r>
        <w:t xml:space="preserve">Comprehensive Sales Report: Translator Interpreter Services in Kuwait City</w:t>
      </w:r>
    </w:p>
    <w:bookmarkStart w:id="20" w:name="executive-summary"/>
    <w:p>
      <w:pPr>
        <w:pStyle w:val="Heading2"/>
      </w:pPr>
      <w:r>
        <w:t xml:space="preserve">Executive Summary</w:t>
      </w:r>
    </w:p>
    <w:p>
      <w:pPr>
        <w:pStyle w:val="FirstParagraph"/>
      </w:pPr>
      <w:r>
        <w:t xml:space="preserve">This Sales Report provides a detailed analysis of the Translator Interpreter service market within Kuwait City, highlighting current performance, strategic opportunities, and future growth potential. As the economic and diplomatic hub of Kuwait, Kuwait City represents a critical market for professional language solutions due to its unique demographic composition and business landscape. This report confirms that demand for certified Translator Interpreter services has increased by 22% year-over-year in the Kuwait City metropolitan area, driven by government initiatives, multinational corporations, and growing expatriate communities.</w:t>
      </w:r>
    </w:p>
    <w:bookmarkEnd w:id="20"/>
    <w:bookmarkStart w:id="21" w:name="market-analysis-kuwait-city-dynamics"/>
    <w:p>
      <w:pPr>
        <w:pStyle w:val="Heading2"/>
      </w:pPr>
      <w:r>
        <w:t xml:space="preserve">Market Analysis: Kuwait City Dynamics</w:t>
      </w:r>
    </w:p>
    <w:p>
      <w:pPr>
        <w:pStyle w:val="FirstParagraph"/>
      </w:pPr>
      <w:r>
        <w:t xml:space="preserve">Kuwait City's status as the political and commercial capital creates exceptional demand for precision language services. With over 70% of the population comprising foreign nationals speaking English, Hindi, Urdu, Tagalog, Russian, and other languages alongside Arabic (the official language), effective communication is non-negotiable across sectors. The government's Vision 2035 initiative has further accelerated this need by prioritizing international collaboration in healthcare, legal frameworks, and tourism development.</w:t>
      </w:r>
    </w:p>
    <w:p>
      <w:pPr>
        <w:pStyle w:val="BodyText"/>
      </w:pPr>
      <w:r>
        <w:t xml:space="preserve">Our sales data reveals that Kuwait City accounts for 87% of all Translator Interpreter service contracts within Kuwait. Key growth drivers include:</w:t>
      </w:r>
    </w:p>
    <w:p>
      <w:pPr>
        <w:numPr>
          <w:ilvl w:val="0"/>
          <w:numId w:val="1001"/>
        </w:numPr>
        <w:pStyle w:val="Compact"/>
      </w:pPr>
      <w:r>
        <w:t xml:space="preserve">Government tender requirements mandating multilingual documentation (15+ new contracts secured in Q1 2023)</w:t>
      </w:r>
    </w:p>
    <w:p>
      <w:pPr>
        <w:numPr>
          <w:ilvl w:val="0"/>
          <w:numId w:val="1001"/>
        </w:numPr>
        <w:pStyle w:val="Compact"/>
      </w:pPr>
      <w:r>
        <w:t xml:space="preserve">Healthcare expansion across Kuwait City hospitals requiring real-time medical interpretation</w:t>
      </w:r>
    </w:p>
    <w:p>
      <w:pPr>
        <w:numPr>
          <w:ilvl w:val="0"/>
          <w:numId w:val="1001"/>
        </w:numPr>
        <w:pStyle w:val="Compact"/>
      </w:pPr>
      <w:r>
        <w:t xml:space="preserve">Rising foreign investment in commercial real estate projects demanding Arabic-English business translations</w:t>
      </w:r>
    </w:p>
    <w:bookmarkEnd w:id="21"/>
    <w:bookmarkStart w:id="22" w:name="X9c09167ee5ffb9831121ae3953a3bdf673e741a"/>
    <w:p>
      <w:pPr>
        <w:pStyle w:val="Heading2"/>
      </w:pPr>
      <w:r>
        <w:t xml:space="preserve">Current Sales Performance Metrics (Kuwait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Revenue (KWD)</w:t>
            </w:r>
          </w:p>
        </w:tc>
        <w:tc>
          <w:tcPr/>
          <w:p>
            <w:pPr>
              <w:pStyle w:val="Compact"/>
              <w:jc w:val="left"/>
            </w:pPr>
            <w:r>
              <w:t xml:space="preserve">YoY Change</w:t>
            </w:r>
          </w:p>
        </w:tc>
        <w:tc>
          <w:tcPr/>
          <w:p>
            <w:pPr>
              <w:pStyle w:val="Compact"/>
              <w:jc w:val="left"/>
            </w:pPr>
            <w:r>
              <w:t xml:space="preserve">Market Share in Kuwait City</w:t>
            </w:r>
          </w:p>
        </w:tc>
      </w:tr>
      <w:tr>
        <w:tc>
          <w:tcPr/>
          <w:p>
            <w:pPr>
              <w:pStyle w:val="Compact"/>
              <w:jc w:val="left"/>
            </w:pPr>
            <w:r>
              <w:t xml:space="preserve">On-Site Interpreter Services</w:t>
            </w:r>
          </w:p>
        </w:tc>
        <w:tc>
          <w:tcPr/>
          <w:p>
            <w:pPr>
              <w:pStyle w:val="Compact"/>
              <w:jc w:val="left"/>
            </w:pPr>
            <w:r>
              <w:t xml:space="preserve">85,400</w:t>
            </w:r>
          </w:p>
        </w:tc>
        <w:tc>
          <w:tcPr/>
          <w:p>
            <w:pPr>
              <w:pStyle w:val="Compact"/>
              <w:jc w:val="left"/>
            </w:pPr>
            <w:r>
              <w:t xml:space="preserve">+28%</w:t>
            </w:r>
          </w:p>
        </w:tc>
        <w:tc>
          <w:tcPr/>
          <w:p>
            <w:pPr>
              <w:pStyle w:val="Compact"/>
              <w:jc w:val="left"/>
            </w:pPr>
            <w:r>
              <w:t xml:space="preserve">36%</w:t>
            </w:r>
          </w:p>
        </w:tc>
      </w:tr>
      <w:tr>
        <w:tc>
          <w:tcPr/>
          <w:p>
            <w:pPr>
              <w:pStyle w:val="Compact"/>
              <w:jc w:val="left"/>
            </w:pPr>
            <w:r>
              <w:t xml:space="preserve">Digital Translation (Legal/Technical)</w:t>
            </w:r>
          </w:p>
        </w:tc>
        <w:tc>
          <w:tcPr/>
          <w:p>
            <w:pPr>
              <w:pStyle w:val="Compact"/>
              <w:jc w:val="left"/>
            </w:pPr>
            <w:r>
              <w:t xml:space="preserve">127,650</w:t>
            </w:r>
          </w:p>
        </w:tc>
        <w:tc>
          <w:tcPr/>
          <w:p>
            <w:pPr>
              <w:pStyle w:val="Compact"/>
              <w:jc w:val="left"/>
            </w:pPr>
            <w:r>
              <w:t xml:space="preserve">+19%</w:t>
            </w:r>
          </w:p>
        </w:tc>
        <w:tc>
          <w:tcPr/>
          <w:p>
            <w:pPr>
              <w:pStyle w:val="Compact"/>
              <w:jc w:val="left"/>
            </w:pPr>
            <w:r>
              <w:t xml:space="preserve">42%</w:t>
            </w:r>
          </w:p>
        </w:tc>
      </w:tr>
      <w:tr>
        <w:tc>
          <w:tcPr/>
          <w:p>
            <w:pPr>
              <w:pStyle w:val="Compact"/>
              <w:jc w:val="left"/>
            </w:pPr>
            <w:r>
              <w:t xml:space="preserve">Video Conference Interpretation</w:t>
            </w:r>
          </w:p>
        </w:tc>
        <w:tc>
          <w:tcPr/>
          <w:p>
            <w:pPr>
              <w:pStyle w:val="Compact"/>
              <w:jc w:val="left"/>
            </w:pPr>
            <w:r>
              <w:t xml:space="preserve">58,300</w:t>
            </w:r>
          </w:p>
        </w:tc>
        <w:tc>
          <w:tcPr/>
          <w:p>
            <w:pPr>
              <w:pStyle w:val="Compact"/>
              <w:jc w:val="left"/>
            </w:pPr>
            <w:r>
              <w:t xml:space="preserve">+33%</w:t>
            </w:r>
          </w:p>
        </w:tc>
        <w:tc>
          <w:tcPr/>
          <w:p>
            <w:pPr>
              <w:pStyle w:val="Compact"/>
              <w:jc w:val="left"/>
            </w:pPr>
            <w:r>
              <w:t xml:space="preserve">17%</w:t>
            </w:r>
          </w:p>
        </w:tc>
      </w:tr>
      <w:tr>
        <w:tc>
          <w:tcPr/>
          <w:p>
            <w:pPr>
              <w:pStyle w:val="Compact"/>
              <w:jc w:val="left"/>
            </w:pPr>
            <w:r>
              <w:t xml:space="preserve">Total Kuwait City Revenue</w:t>
            </w:r>
          </w:p>
        </w:tc>
        <w:tc>
          <w:tcPr/>
          <w:p>
            <w:pPr>
              <w:pStyle w:val="Compact"/>
              <w:jc w:val="left"/>
            </w:pPr>
            <w:r>
              <w:t xml:space="preserve">271,350 KWD</w:t>
            </w:r>
          </w:p>
        </w:tc>
        <w:tc>
          <w:tcPr/>
          <w:p>
            <w:pPr>
              <w:pStyle w:val="Compact"/>
              <w:jc w:val="left"/>
            </w:pPr>
            <w:r>
              <w:t xml:space="preserve">+22% YoY</w:t>
            </w:r>
          </w:p>
        </w:tc>
        <w:tc>
          <w:tcPr/>
          <w:p>
            <w:pPr>
              <w:pStyle w:val="Compact"/>
              <w:jc w:val="left"/>
            </w:pPr>
            <w:r>
              <w:t xml:space="preserve">100%</w:t>
            </w:r>
          </w:p>
        </w:tc>
      </w:tr>
    </w:tbl>
    <w:p>
      <w:pPr>
        <w:pStyle w:val="BodyText"/>
      </w:pPr>
      <w:r>
        <w:t xml:space="preserve">The sales trajectory demonstrates that our Translator Interpreter service portfolio is outperforming regional benchmarks by 8.5%. Notably, the healthcare sector in Kuwait City contributed 34% of total revenue through urgent medical interpretation contracts with Al-Amiri Hospital and National Guard Hospitals. This segment shows particularly high growth (41%) as new clinics expand services to diverse expatriate populations.</w:t>
      </w:r>
    </w:p>
    <w:bookmarkEnd w:id="22"/>
    <w:bookmarkStart w:id="23" w:name="strategic-challenges-in-kuwait-city"/>
    <w:p>
      <w:pPr>
        <w:pStyle w:val="Heading2"/>
      </w:pPr>
      <w:r>
        <w:t xml:space="preserve">Strategic Challenges in Kuwait City</w:t>
      </w:r>
    </w:p>
    <w:p>
      <w:pPr>
        <w:pStyle w:val="FirstParagraph"/>
      </w:pPr>
      <w:r>
        <w:t xml:space="preserve">Despite robust demand, our Kuwait City operations face unique challenges requiring specialized solutions. The most significant hurdles include:</w:t>
      </w:r>
    </w:p>
    <w:p>
      <w:pPr>
        <w:numPr>
          <w:ilvl w:val="0"/>
          <w:numId w:val="1002"/>
        </w:numPr>
        <w:pStyle w:val="Compact"/>
      </w:pPr>
      <w:r>
        <w:rPr>
          <w:bCs/>
          <w:b/>
        </w:rPr>
        <w:t xml:space="preserve">Certification Standards:</w:t>
      </w:r>
      <w:r>
        <w:t xml:space="preserve"> </w:t>
      </w:r>
      <w:r>
        <w:t xml:space="preserve">Kuwait's Ministry of Justice requires all official Translator Interpreter services to hold government accreditation. We maintain 100% certified staff across all languages, but the certification process causes a 12-15 day service delay for new hires.</w:t>
      </w:r>
    </w:p>
    <w:p>
      <w:pPr>
        <w:numPr>
          <w:ilvl w:val="0"/>
          <w:numId w:val="1002"/>
        </w:numPr>
        <w:pStyle w:val="Compact"/>
      </w:pPr>
      <w:r>
        <w:rPr>
          <w:bCs/>
          <w:b/>
        </w:rPr>
        <w:t xml:space="preserve">Language Complexity:</w:t>
      </w:r>
      <w:r>
        <w:t xml:space="preserve"> </w:t>
      </w:r>
      <w:r>
        <w:t xml:space="preserve">Dialectal variations in Arabic (Kuwaiti vs. MSA) require interpreters with regional expertise. Our Kuwait City team has invested in specialized dialect training, reducing miscommunication incidents by 63%.</w:t>
      </w:r>
    </w:p>
    <w:p>
      <w:pPr>
        <w:numPr>
          <w:ilvl w:val="0"/>
          <w:numId w:val="1002"/>
        </w:numPr>
        <w:pStyle w:val="Compact"/>
      </w:pPr>
      <w:r>
        <w:rPr>
          <w:bCs/>
          <w:b/>
        </w:rPr>
        <w:t xml:space="preserve">Seasonal Demand Peaks:</w:t>
      </w:r>
      <w:r>
        <w:t xml:space="preserve"> </w:t>
      </w:r>
      <w:r>
        <w:t xml:space="preserve">Ramadan and the Hajj season increase translation needs for religious materials by 200%, requiring dynamic staffing solutions we've addressed with our Kuwait City seasonal contractor network.</w:t>
      </w:r>
    </w:p>
    <w:bookmarkEnd w:id="23"/>
    <w:bookmarkStart w:id="24" w:name="growth-opportunities-in-kuwait-city"/>
    <w:p>
      <w:pPr>
        <w:pStyle w:val="Heading2"/>
      </w:pPr>
      <w:r>
        <w:t xml:space="preserve">Growth Opportunities in Kuwait City</w:t>
      </w:r>
    </w:p>
    <w:p>
      <w:pPr>
        <w:pStyle w:val="FirstParagraph"/>
      </w:pPr>
      <w:r>
        <w:t xml:space="preserve">The sales pipeline indicates promising expansion avenues for Translator Interpreter services across several sectors within Kuwait City:</w:t>
      </w:r>
    </w:p>
    <w:p>
      <w:pPr>
        <w:numPr>
          <w:ilvl w:val="0"/>
          <w:numId w:val="1003"/>
        </w:numPr>
        <w:pStyle w:val="Compact"/>
      </w:pPr>
      <w:r>
        <w:rPr>
          <w:bCs/>
          <w:b/>
        </w:rPr>
        <w:t xml:space="preserve">Education Sector:</w:t>
      </w:r>
      <w:r>
        <w:t xml:space="preserve"> </w:t>
      </w:r>
      <w:r>
        <w:t xml:space="preserve">18 new contracts with universities (including Gulf University and Kuwait University) for course material translations</w:t>
      </w:r>
    </w:p>
    <w:p>
      <w:pPr>
        <w:numPr>
          <w:ilvl w:val="0"/>
          <w:numId w:val="1003"/>
        </w:numPr>
        <w:pStyle w:val="Compact"/>
      </w:pPr>
      <w:r>
        <w:rPr>
          <w:bCs/>
          <w:b/>
        </w:rPr>
        <w:t xml:space="preserve">Tourism Development:</w:t>
      </w:r>
      <w:r>
        <w:t xml:space="preserve"> </w:t>
      </w:r>
      <w:r>
        <w:t xml:space="preserve">Partnership with Ministry of Tourism for multilingual signage at Kuwait City's new Al-Safawi Park (project value: 350,000 KWD)</w:t>
      </w:r>
    </w:p>
    <w:bookmarkEnd w:id="24"/>
    <w:bookmarkStart w:id="25" w:name="X9558eaa1437aab45af735b4c93980afa4d831ea"/>
    <w:p>
      <w:pPr>
        <w:pStyle w:val="Heading2"/>
      </w:pPr>
      <w:r>
        <w:t xml:space="preserve">Recommendations for Kuwait City Market Dominance</w:t>
      </w:r>
    </w:p>
    <w:p>
      <w:pPr>
        <w:pStyle w:val="FirstParagraph"/>
      </w:pPr>
      <w:r>
        <w:t xml:space="preserve">To capitalize on our strong position as a leading Translator Interpreter provider in Kuwait City, we propose three strategic initiatives:</w:t>
      </w:r>
    </w:p>
    <w:p>
      <w:pPr>
        <w:numPr>
          <w:ilvl w:val="0"/>
          <w:numId w:val="1004"/>
        </w:numPr>
        <w:pStyle w:val="Compact"/>
      </w:pPr>
      <w:r>
        <w:rPr>
          <w:bCs/>
          <w:b/>
        </w:rPr>
        <w:t xml:space="preserve">Establish Dedicated Kuwait City Language Hub:</w:t>
      </w:r>
      <w:r>
        <w:t xml:space="preserve"> </w:t>
      </w:r>
      <w:r>
        <w:t xml:space="preserve">Create a physical service center in Salmiya (Kuwait City) with 24/7 emergency interpreter availability for government and hospital clients. This reduces response time from 4 hours to under 30 minutes.</w:t>
      </w:r>
    </w:p>
    <w:p>
      <w:pPr>
        <w:numPr>
          <w:ilvl w:val="0"/>
          <w:numId w:val="1004"/>
        </w:numPr>
        <w:pStyle w:val="Compact"/>
      </w:pPr>
      <w:r>
        <w:rPr>
          <w:bCs/>
          <w:b/>
        </w:rPr>
        <w:t xml:space="preserve">Develop Sector-Specific Translation Libraries:</w:t>
      </w:r>
      <w:r>
        <w:t xml:space="preserve"> </w:t>
      </w:r>
      <w:r>
        <w:t xml:space="preserve">Build specialized databases for Kuwaiti legal terminology, healthcare protocols, and real estate contracts to improve accuracy by 45% while reducing turnaround times.</w:t>
      </w:r>
    </w:p>
    <w:p>
      <w:pPr>
        <w:numPr>
          <w:ilvl w:val="0"/>
          <w:numId w:val="1004"/>
        </w:numPr>
        <w:pStyle w:val="Compact"/>
      </w:pPr>
      <w:r>
        <w:rPr>
          <w:bCs/>
          <w:b/>
        </w:rPr>
        <w:t xml:space="preserve">Certification Acceleration Program:</w:t>
      </w:r>
      <w:r>
        <w:t xml:space="preserve"> </w:t>
      </w:r>
      <w:r>
        <w:t xml:space="preserve">Partner with Kuwait University to fast-track certification for promising interpreters, cutting new hire onboarding from 15 days to 3 days while maintaining quality standards.</w:t>
      </w:r>
    </w:p>
    <w:bookmarkEnd w:id="25"/>
    <w:bookmarkStart w:id="26" w:name="X864d1120872ad0234017f9b684f9da8da0a9d99"/>
    <w:p>
      <w:pPr>
        <w:pStyle w:val="Heading2"/>
      </w:pPr>
      <w:r>
        <w:t xml:space="preserve">Conclusion: The Future of Translator Interpreter Services in Kuwait City</w:t>
      </w:r>
    </w:p>
    <w:p>
      <w:pPr>
        <w:pStyle w:val="FirstParagraph"/>
      </w:pPr>
      <w:r>
        <w:t xml:space="preserve">This Sales Report confirms that the Translator Interpreter market in Kuwait City remains a high-growth, high-impact sector fundamental to Kuwait's economic diversification strategy. Our data shows that demand will continue expanding as the government pushes for more international partnerships and private sector growth accelerates. With 78% of our new Kuwait City clients coming through referrals from existing government contracts, we are positioned to capture over 50% market share in the Translator Interpreter space within Kuwait City by 2025.</w:t>
      </w:r>
    </w:p>
    <w:p>
      <w:pPr>
        <w:pStyle w:val="BodyText"/>
      </w:pPr>
      <w:r>
        <w:t xml:space="preserve">As the premier provider of professional language solutions in this dynamic market, our commitment to excellence directly supports Kuwait's Vision 2035 objectives. The success of our Translator Interpreter services in Kuwait City isn't merely about translation—it's about enabling seamless cross-cultural collaboration that drives economic progress. We recommend allocating an additional 15% of sales revenue toward expanding our Kuwait City infrastructure to meet this growing demand, ensuring we remain the trusted language partner for all critical transactions within the capital city.</w:t>
      </w:r>
    </w:p>
    <w:p>
      <w:pPr>
        <w:pStyle w:val="BodyText"/>
      </w:pPr>
      <w:r>
        <w:rPr>
          <w:bCs/>
          <w:b/>
        </w:rPr>
        <w:t xml:space="preserve">Prepared by:</w:t>
      </w:r>
      <w:r>
        <w:t xml:space="preserve"> </w:t>
      </w:r>
      <w:r>
        <w:t xml:space="preserve">International Sales Division</w:t>
      </w:r>
      <w:r>
        <w:br/>
      </w:r>
      <w:r>
        <w:rPr>
          <w:bCs/>
          <w:b/>
        </w:rPr>
        <w:t xml:space="preserve">Date:</w:t>
      </w:r>
      <w:r>
        <w:t xml:space="preserve"> </w:t>
      </w:r>
      <w:r>
        <w:t xml:space="preserve">October 26, 2023</w:t>
      </w:r>
      <w:r>
        <w:br/>
      </w:r>
      <w:r>
        <w:rPr>
          <w:bCs/>
          <w:b/>
        </w:rPr>
        <w:t xml:space="preserve">Report Reference:</w:t>
      </w:r>
      <w:r>
        <w:t xml:space="preserve"> </w:t>
      </w:r>
      <w:r>
        <w:t xml:space="preserve">GLTI-KWT-CITY-TRANSLATE-REPORT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Kuwait City</dc:title>
  <dc:creator/>
  <dc:language>en</dc:language>
  <cp:keywords/>
  <dcterms:created xsi:type="dcterms:W3CDTF">2026-07-21T02:51:13Z</dcterms:created>
  <dcterms:modified xsi:type="dcterms:W3CDTF">2026-07-21T02:51:13Z</dcterms:modified>
</cp:coreProperties>
</file>

<file path=docProps/custom.xml><?xml version="1.0" encoding="utf-8"?>
<Properties xmlns="http://schemas.openxmlformats.org/officeDocument/2006/custom-properties" xmlns:vt="http://schemas.openxmlformats.org/officeDocument/2006/docPropsVTypes"/>
</file>