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Qatar</w:t>
      </w:r>
      <w:r>
        <w:t xml:space="preserve"> </w:t>
      </w:r>
      <w:r>
        <w:t xml:space="preserve">Doha</w:t>
      </w:r>
    </w:p>
    <w:bookmarkStart w:id="27" w:name="X65cb0ccbdd80cf89211ba02952f0f49c158f658"/>
    <w:p>
      <w:pPr>
        <w:pStyle w:val="Heading1"/>
      </w:pPr>
      <w:r>
        <w:t xml:space="preserve">Qatar Doha Translator Interpreter Sales Performance Report: Q3 2023</w:t>
      </w:r>
    </w:p>
    <w:p>
      <w:pPr>
        <w:pStyle w:val="FirstParagraph"/>
      </w:pPr>
      <w:r>
        <w:rPr>
          <w:bCs/>
          <w:b/>
        </w:rPr>
        <w:t xml:space="preserve">Prepared For:</w:t>
      </w:r>
      <w:r>
        <w:t xml:space="preserve"> </w:t>
      </w:r>
      <w:r>
        <w:t xml:space="preserve">Executive Leadership &amp; Strategic Partners</w:t>
      </w:r>
      <w:r>
        <w:br/>
      </w:r>
      <w:r>
        <w:rPr>
          <w:bCs/>
          <w:b/>
        </w:rPr>
        <w:t xml:space="preserve">Date:</w:t>
      </w:r>
      <w:r>
        <w:t xml:space="preserve"> </w:t>
      </w:r>
      <w:r>
        <w:t xml:space="preserve">October 26, 2023</w:t>
      </w:r>
      <w:r>
        <w:br/>
      </w:r>
      <w:r>
        <w:rPr>
          <w:bCs/>
          <w:b/>
        </w:rPr>
        <w:t xml:space="preserve">Purpose:</w:t>
      </w:r>
      <w:r>
        <w:t xml:space="preserve"> </w:t>
      </w:r>
      <w:r>
        <w:t xml:space="preserve">Comprehensive analysis of Translator Interpreter service sales performance in Qatar Doha market</w:t>
      </w:r>
    </w:p>
    <w:bookmarkStart w:id="20" w:name="executive-summary"/>
    <w:p>
      <w:pPr>
        <w:pStyle w:val="Heading2"/>
      </w:pPr>
      <w:r>
        <w:t xml:space="preserve">Executive Summary</w:t>
      </w:r>
    </w:p>
    <w:p>
      <w:pPr>
        <w:pStyle w:val="FirstParagraph"/>
      </w:pPr>
      <w:r>
        <w:t xml:space="preserve">The Qatar Doha market for professional Translator Interpreter services has demonstrated remarkable resilience and growth, with a 23% year-over-year increase in revenue during Q3 2023. This expansion directly correlates with Qatar's strategic initiatives under Vision 2030, which prioritize multilingual accessibility across all sectors. Our firm has secured key contracts with major government entities, healthcare providers, and international organizations operating within Doha, reinforcing our position as the premier provider of Translator Interpreter solutions in this dynamic market. The convergence of global events (including ongoing infrastructure development), diplomatic activity, and cultural diversification continues to fuel demand for certified linguistic services throughout Qatar Doha.</w:t>
      </w:r>
    </w:p>
    <w:bookmarkEnd w:id="20"/>
    <w:bookmarkStart w:id="21" w:name="market-analysis-qatar-doha-dynamics"/>
    <w:p>
      <w:pPr>
        <w:pStyle w:val="Heading2"/>
      </w:pPr>
      <w:r>
        <w:t xml:space="preserve">Market Analysis: Qatar Doha Dynamics</w:t>
      </w:r>
    </w:p>
    <w:p>
      <w:pPr>
        <w:pStyle w:val="FirstParagraph"/>
      </w:pPr>
      <w:r>
        <w:t xml:space="preserve">Qatar Doha's unique demographic landscape – hosting over 90% expatriate population across 150+ nationalities – creates exceptional demand for high-stakes Translator Interpreter services. The capital city serves as the nerve center for Gulf operations, with Hamad International Airport processing over 24 million passengers annually and Education City hosting international universities. This environment necessitates immediate, accurate linguistic solutions across three critical domains:</w:t>
      </w:r>
    </w:p>
    <w:p>
      <w:pPr>
        <w:numPr>
          <w:ilvl w:val="0"/>
          <w:numId w:val="1001"/>
        </w:numPr>
        <w:pStyle w:val="Compact"/>
      </w:pPr>
      <w:r>
        <w:rPr>
          <w:bCs/>
          <w:b/>
        </w:rPr>
        <w:t xml:space="preserve">Government &amp; Diplomacy:</w:t>
      </w:r>
      <w:r>
        <w:t xml:space="preserve"> </w:t>
      </w:r>
      <w:r>
        <w:t xml:space="preserve">Arabic-to-English translations for legislative documents (e.g., new labor laws), simultaneous interpretation at the Ministry of Foreign Affairs</w:t>
      </w:r>
    </w:p>
    <w:p>
      <w:pPr>
        <w:numPr>
          <w:ilvl w:val="0"/>
          <w:numId w:val="1001"/>
        </w:numPr>
        <w:pStyle w:val="Compact"/>
      </w:pPr>
      <w:r>
        <w:rPr>
          <w:bCs/>
          <w:b/>
        </w:rPr>
        <w:t xml:space="preserve">Healthcare &amp; Emergency Services:</w:t>
      </w:r>
      <w:r>
        <w:t xml:space="preserve"> </w:t>
      </w:r>
      <w:r>
        <w:t xml:space="preserve">Medical interpreting at Sidra Medicine and Hamad Medical Corporation, critical during public health initiatives</w:t>
      </w:r>
    </w:p>
    <w:bookmarkEnd w:id="21"/>
    <w:bookmarkStart w:id="22" w:name="sales-performance-highlights"/>
    <w:p>
      <w:pPr>
        <w:pStyle w:val="Heading2"/>
      </w:pPr>
      <w:r>
        <w:t xml:space="preserve">Sales Performance Highlights</w:t>
      </w:r>
    </w:p>
    <w:p>
      <w:pPr>
        <w:pStyle w:val="FirstParagraph"/>
      </w:pPr>
      <w:r>
        <w:t xml:space="preserve">Our sales pipeline in Qatar Doha reflected exceptional growth across all service segments, with the following key achievements:</w:t>
      </w:r>
    </w:p>
    <w:p>
      <w:pPr>
        <w:pStyle w:val="BodyText"/>
      </w:pPr>
      <w:r>
        <w:t xml:space="preserve">Service Type</w:t>
      </w:r>
    </w:p>
    <w:p>
      <w:pPr>
        <w:pStyle w:val="BodyText"/>
      </w:pPr>
      <w:r>
        <w:t xml:space="preserve">Q3 Revenue ($)</w:t>
      </w:r>
    </w:p>
    <w:p>
      <w:pPr>
        <w:pStyle w:val="BodyText"/>
      </w:pPr>
      <w:r>
        <w:t xml:space="preserve">YoY Growth</w:t>
      </w:r>
    </w:p>
    <w:p>
      <w:pPr>
        <w:pStyle w:val="BodyText"/>
      </w:pPr>
      <w:r>
        <w:t xml:space="preserve">Key Clients in Qatar Doha</w:t>
      </w:r>
    </w:p>
    <w:p>
      <w:pPr>
        <w:pStyle w:val="BodyText"/>
      </w:pPr>
      <w:r>
        <w:t xml:space="preserve">Document Translation (Legal/Technical)</w:t>
      </w:r>
    </w:p>
    <w:p>
      <w:pPr>
        <w:pStyle w:val="BodyText"/>
      </w:pPr>
      <w:r>
        <w:t xml:space="preserve">$415,000</w:t>
      </w:r>
    </w:p>
    <w:p>
      <w:pPr>
        <w:pStyle w:val="BodyText"/>
      </w:pPr>
      <w:r>
        <w:t xml:space="preserve">+28%</w:t>
      </w:r>
    </w:p>
    <w:p>
      <w:pPr>
        <w:pStyle w:val="BodyText"/>
      </w:pPr>
      <w:r>
        <w:t xml:space="preserve">MWALI Group, Ministry of Commerce &amp; Industry</w:t>
      </w:r>
    </w:p>
    <w:p>
      <w:pPr>
        <w:pStyle w:val="BodyText"/>
      </w:pPr>
      <w:r>
        <w:t xml:space="preserve">Simultaneous Interpretation</w:t>
      </w:r>
    </w:p>
    <w:p>
      <w:pPr>
        <w:pStyle w:val="BodyText"/>
      </w:pPr>
      <w:r>
        <w:t xml:space="preserve">$327,500</w:t>
      </w:r>
    </w:p>
    <w:p>
      <w:pPr>
        <w:pStyle w:val="BodyText"/>
      </w:pPr>
      <w:r>
        <w:t xml:space="preserve">&lt;</w:t>
      </w:r>
    </w:p>
    <w:p>
      <w:pPr>
        <w:pStyle w:val="BodyText"/>
      </w:pPr>
      <w:r>
        <w:t xml:space="preserve">+19%</w:t>
      </w:r>
    </w:p>
    <w:p>
      <w:pPr>
        <w:pStyle w:val="BodyText"/>
      </w:pPr>
      <w:r>
        <w:t xml:space="preserve">&lt;</w:t>
      </w:r>
    </w:p>
    <w:p>
      <w:pPr>
        <w:pStyle w:val="BodyText"/>
      </w:pPr>
      <w:r>
        <w:t xml:space="preserve">Qatar Airways, World Cup Legacy Projects Team</w:t>
      </w:r>
    </w:p>
    <w:p>
      <w:pPr>
        <w:pStyle w:val="BodyText"/>
      </w:pPr>
      <w:r>
        <w:t xml:space="preserve">Consecutive Interpretation (Healthcare)</w:t>
      </w:r>
    </w:p>
    <w:p>
      <w:pPr>
        <w:pStyle w:val="BodyText"/>
      </w:pPr>
      <w:r>
        <w:t xml:space="preserve">$284,300</w:t>
      </w:r>
    </w:p>
    <w:p>
      <w:pPr>
        <w:pStyle w:val="BodyText"/>
      </w:pPr>
      <w:r>
        <w:t xml:space="preserve">+35%</w:t>
      </w:r>
    </w:p>
    <w:p>
      <w:pPr>
        <w:pStyle w:val="BodyText"/>
      </w:pPr>
      <w:r>
        <w:t xml:space="preserve">Total Revenue</w:t>
      </w:r>
    </w:p>
    <w:p>
      <w:pPr>
        <w:pStyle w:val="BodyText"/>
      </w:pPr>
      <w:r>
        <w:t xml:space="preserve">$1,026,800</w:t>
      </w:r>
    </w:p>
    <w:p>
      <w:pPr>
        <w:pStyle w:val="BodyText"/>
      </w:pPr>
      <w:r>
        <w:t xml:space="preserve">Overall: +23%</w:t>
      </w:r>
    </w:p>
    <w:p>
      <w:pPr>
        <w:pStyle w:val="BodyText"/>
      </w:pPr>
      <w:r>
        <w:t xml:space="preserve">Notable contracts secured in Doha include:</w:t>
      </w:r>
    </w:p>
    <w:p>
      <w:pPr>
        <w:numPr>
          <w:ilvl w:val="0"/>
          <w:numId w:val="1002"/>
        </w:numPr>
        <w:pStyle w:val="Compact"/>
      </w:pPr>
      <w:r>
        <w:t xml:space="preserve">A $550k 18-month framework agreement with the Qatar National Vision 2030 Implementation Office for all translation requirements</w:t>
      </w:r>
    </w:p>
    <w:p>
      <w:pPr>
        <w:numPr>
          <w:ilvl w:val="0"/>
          <w:numId w:val="1002"/>
        </w:numPr>
        <w:pStyle w:val="Compact"/>
      </w:pPr>
      <w:r>
        <w:t xml:space="preserve">Real-time interpretation services during the International Chamber of Commerce (ICC) Summit at Doha Exhibition Centre</w:t>
      </w:r>
    </w:p>
    <w:p>
      <w:pPr>
        <w:numPr>
          <w:ilvl w:val="0"/>
          <w:numId w:val="1002"/>
        </w:numPr>
        <w:pStyle w:val="Compact"/>
      </w:pPr>
      <w:r>
        <w:t xml:space="preserve">Comprehensive Arabic-English medical translation package for Al Jazeera Medical Center's new pediatric wing</w:t>
      </w:r>
    </w:p>
    <w:bookmarkEnd w:id="22"/>
    <w:bookmarkStart w:id="23" w:name="strategic-market-insights-why-qatar-doha"/>
    <w:p>
      <w:pPr>
        <w:pStyle w:val="Heading2"/>
      </w:pPr>
      <w:r>
        <w:t xml:space="preserve">Strategic Market Insights: Why Qatar Doha?</w:t>
      </w:r>
    </w:p>
    <w:p>
      <w:pPr>
        <w:pStyle w:val="FirstParagraph"/>
      </w:pPr>
      <w:r>
        <w:t xml:space="preserve">The growth trajectory of our Translator Interpreter services in Qatar Doha is fundamentally driven by three structural factors:</w:t>
      </w:r>
    </w:p>
    <w:p>
      <w:pPr>
        <w:numPr>
          <w:ilvl w:val="0"/>
          <w:numId w:val="1003"/>
        </w:numPr>
        <w:pStyle w:val="Compact"/>
      </w:pPr>
      <w:r>
        <w:rPr>
          <w:bCs/>
          <w:b/>
        </w:rPr>
        <w:t xml:space="preserve">Government Mandates:</w:t>
      </w:r>
      <w:r>
        <w:t xml:space="preserve"> </w:t>
      </w:r>
      <w:r>
        <w:t xml:space="preserve">New regulations (e.g., Law No. 41 of 2020) require all public sector documents to be available in Arabic, creating mandatory demand for certified Translator Interpreter services.</w:t>
      </w:r>
    </w:p>
    <w:p>
      <w:pPr>
        <w:numPr>
          <w:ilvl w:val="0"/>
          <w:numId w:val="1003"/>
        </w:numPr>
        <w:pStyle w:val="Compact"/>
      </w:pPr>
      <w:r>
        <w:rPr>
          <w:bCs/>
          <w:b/>
        </w:rPr>
        <w:t xml:space="preserve">Event-Driven Economy:</w:t>
      </w:r>
      <w:r>
        <w:t xml:space="preserve"> </w:t>
      </w:r>
      <w:r>
        <w:t xml:space="preserve">Post-World Cup infrastructure development has accelerated, requiring continuous translation support for construction contracts between international contractors (e.g., Chinese &amp; Korean firms) and Qatari authorities.</w:t>
      </w:r>
    </w:p>
    <w:p>
      <w:pPr>
        <w:numPr>
          <w:ilvl w:val="0"/>
          <w:numId w:val="1003"/>
        </w:numPr>
        <w:pStyle w:val="Compact"/>
      </w:pPr>
      <w:r>
        <w:rPr>
          <w:bCs/>
          <w:b/>
        </w:rPr>
        <w:t xml:space="preserve">Cultural Integration Initiatives:</w:t>
      </w:r>
      <w:r>
        <w:t xml:space="preserve"> </w:t>
      </w:r>
      <w:r>
        <w:t xml:space="preserve">Programs like "Qatar National Language Strategy" actively promote Arabic proficiency while maintaining English as the business lingua franca, necessitating bilingual expertise in all sectors.</w:t>
      </w:r>
    </w:p>
    <w:bookmarkEnd w:id="23"/>
    <w:bookmarkStart w:id="24" w:name="challenges-and-strategic-opportunities"/>
    <w:p>
      <w:pPr>
        <w:pStyle w:val="Heading2"/>
      </w:pPr>
      <w:r>
        <w:t xml:space="preserve">Challenges and Strategic Opportunities</w:t>
      </w:r>
    </w:p>
    <w:p>
      <w:pPr>
        <w:pStyle w:val="FirstParagraph"/>
      </w:pPr>
      <w:r>
        <w:t xml:space="preserve">While market conditions remain favorable, two critical challenges require strategic response:</w:t>
      </w:r>
    </w:p>
    <w:p>
      <w:pPr>
        <w:numPr>
          <w:ilvl w:val="0"/>
          <w:numId w:val="1004"/>
        </w:numPr>
        <w:pStyle w:val="Compact"/>
      </w:pPr>
      <w:r>
        <w:rPr>
          <w:bCs/>
          <w:b/>
        </w:rPr>
        <w:t xml:space="preserve">Talent Shortage:</w:t>
      </w:r>
      <w:r>
        <w:t xml:space="preserve"> </w:t>
      </w:r>
      <w:r>
        <w:t xml:space="preserve">Only 17% of certified Translator Interpreter professionals in Qatar Doha hold required government accreditation. We're addressing this through our "Qatar Linguists Academy" partnership with Qatari universities.</w:t>
      </w:r>
    </w:p>
    <w:p>
      <w:pPr>
        <w:numPr>
          <w:ilvl w:val="0"/>
          <w:numId w:val="1004"/>
        </w:numPr>
        <w:pStyle w:val="Compact"/>
      </w:pPr>
      <w:r>
        <w:rPr>
          <w:bCs/>
          <w:b/>
        </w:rPr>
        <w:t xml:space="preserve">Technology Adoption:</w:t>
      </w:r>
      <w:r>
        <w:t xml:space="preserve"> </w:t>
      </w:r>
      <w:r>
        <w:t xml:space="preserve">Limited integration of AI-assisted translation tools within government workflows presents an opportunity to offer premium certified human-verified services at premium rates.</w:t>
      </w:r>
    </w:p>
    <w:p>
      <w:pPr>
        <w:pStyle w:val="FirstParagraph"/>
      </w:pPr>
      <w:r>
        <w:t xml:space="preserve">The opportunity for expansion in Qatar Doha is particularly strong in the tourism sector, where 78% of hotel staff now require Arabic-English interpretation training per recent Tourism Ministry guidelines. We've already piloted a solution with The Ritz-Carlton Doha that reduced guest service delays by 41%.</w:t>
      </w:r>
    </w:p>
    <w:bookmarkEnd w:id="24"/>
    <w:bookmarkStart w:id="25" w:name="Xec3c27733a38b9e32e97552b226af9cd3af4b97"/>
    <w:p>
      <w:pPr>
        <w:pStyle w:val="Heading2"/>
      </w:pPr>
      <w:r>
        <w:t xml:space="preserve">Recommendations for Qatar Doha Growth Strategy</w:t>
      </w:r>
    </w:p>
    <w:p>
      <w:pPr>
        <w:pStyle w:val="FirstParagraph"/>
      </w:pPr>
      <w:r>
        <w:t xml:space="preserve">Based on Q3 performance, we propose three targeted initiatives to capitalize on Qatar Doha's Translator Interpreter market potential:</w:t>
      </w:r>
    </w:p>
    <w:p>
      <w:pPr>
        <w:numPr>
          <w:ilvl w:val="0"/>
          <w:numId w:val="1005"/>
        </w:numPr>
        <w:pStyle w:val="Compact"/>
      </w:pPr>
      <w:r>
        <w:rPr>
          <w:bCs/>
          <w:b/>
        </w:rPr>
        <w:t xml:space="preserve">Establish a Dedicated Doha Operations Hub:</w:t>
      </w:r>
      <w:r>
        <w:t xml:space="preserve"> </w:t>
      </w:r>
      <w:r>
        <w:t xml:space="preserve">Create a localized team of 15+ Arabic-English bilingual specialists within the city to reduce response times below 30 minutes – exceeding industry standard by 62%.</w:t>
      </w:r>
    </w:p>
    <w:p>
      <w:pPr>
        <w:numPr>
          <w:ilvl w:val="0"/>
          <w:numId w:val="1005"/>
        </w:numPr>
        <w:pStyle w:val="Compact"/>
      </w:pPr>
      <w:r>
        <w:rPr>
          <w:bCs/>
          <w:b/>
        </w:rPr>
        <w:t xml:space="preserve">Prioritize Government Certification Pathway:</w:t>
      </w:r>
      <w:r>
        <w:t xml:space="preserve"> </w:t>
      </w:r>
      <w:r>
        <w:t xml:space="preserve">Accelerate our ISO 17100 certification process to align with Qatar Doha's new mandatory translation quality framework.</w:t>
      </w:r>
    </w:p>
    <w:p>
      <w:pPr>
        <w:numPr>
          <w:ilvl w:val="0"/>
          <w:numId w:val="1005"/>
        </w:numPr>
        <w:pStyle w:val="Compact"/>
      </w:pPr>
      <w:r>
        <w:rPr>
          <w:bCs/>
          <w:b/>
        </w:rPr>
        <w:t xml:space="preserve">Leverage Event Cycles:</w:t>
      </w:r>
      <w:r>
        <w:t xml:space="preserve"> </w:t>
      </w:r>
      <w:r>
        <w:t xml:space="preserve">Develop a "Qatar Events Translation Package" targeting conferences like the 2024 Arab Investment Forum, including pre-event documentation and live interpretation.</w:t>
      </w:r>
    </w:p>
    <w:bookmarkEnd w:id="25"/>
    <w:bookmarkStart w:id="26" w:name="conclusion"/>
    <w:p>
      <w:pPr>
        <w:pStyle w:val="Heading2"/>
      </w:pPr>
      <w:r>
        <w:t xml:space="preserve">Conclusion</w:t>
      </w:r>
    </w:p>
    <w:p>
      <w:pPr>
        <w:pStyle w:val="FirstParagraph"/>
      </w:pPr>
      <w:r>
        <w:t xml:space="preserve">The Qatar Doha market represents the most promising growth corridor for Translator Interpreter services in the Gulf region. Our Q3 sales performance validates that strategic alignment with Qatar's national objectives – particularly Vision 2030's emphasis on cultural preservation and global integration – drives sustainable revenue growth. By maintaining our focus on certified, sector-specific expertise and deepening relationships within Qatar Doha's core institutions (from the Supreme Committee for Delivery &amp; Legacy to Education City), we project a minimum of 25% revenue growth in Q4 2023. The demand for professional Translator Interpreter services is no longer just a business necessity in Qatar Doha; it is now an essential pillar of national development strategy, and our sales success directly contributes to Qatar's global positioning.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Qatar Doha</dc:title>
  <dc:creator/>
  <dc:language>en</dc:language>
  <cp:keywords/>
  <dcterms:created xsi:type="dcterms:W3CDTF">2026-07-18T08:18:51Z</dcterms:created>
  <dcterms:modified xsi:type="dcterms:W3CDTF">2026-07-18T08:18:51Z</dcterms:modified>
</cp:coreProperties>
</file>

<file path=docProps/custom.xml><?xml version="1.0" encoding="utf-8"?>
<Properties xmlns="http://schemas.openxmlformats.org/officeDocument/2006/custom-properties" xmlns:vt="http://schemas.openxmlformats.org/officeDocument/2006/docPropsVTypes"/>
</file>