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Translator</w:t>
      </w:r>
      <w:r>
        <w:t xml:space="preserve"> </w:t>
      </w:r>
      <w:r>
        <w:t xml:space="preserve">Interpreter</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p>
    <w:bookmarkStart w:id="26" w:name="Xb4f707f66ffbe326fde2f306b3cd8bb70c6acb8"/>
    <w:p>
      <w:pPr>
        <w:pStyle w:val="Heading1"/>
      </w:pPr>
      <w:r>
        <w:t xml:space="preserve">Sales Report: Demand and Growth Analysis for Professional Translator Interpreter Services in Abu Dhabi, United Arab Emirates</w:t>
      </w:r>
    </w:p>
    <w:p>
      <w:pPr>
        <w:pStyle w:val="FirstParagraph"/>
      </w:pPr>
      <w:r>
        <w:rPr>
          <w:bCs/>
          <w:b/>
        </w:rPr>
        <w:t xml:space="preserve">Prepared For:</w:t>
      </w:r>
      <w:r>
        <w:t xml:space="preserve"> </w:t>
      </w:r>
      <w:r>
        <w:t xml:space="preserve">Executive Leadership, International Business Development Team</w:t>
      </w:r>
      <w:r>
        <w:br/>
      </w:r>
      <w:r>
        <w:rPr>
          <w:bCs/>
          <w:b/>
        </w:rPr>
        <w:t xml:space="preserve">Date:</w:t>
      </w:r>
      <w:r>
        <w:t xml:space="preserve"> </w:t>
      </w:r>
      <w:r>
        <w:t xml:space="preserve">October 26, 2023</w:t>
      </w:r>
      <w:r>
        <w:br/>
      </w:r>
      <w:r>
        <w:rPr>
          <w:bCs/>
          <w:b/>
        </w:rPr>
        <w:t xml:space="preserve">Report Scope:</w:t>
      </w:r>
      <w:r>
        <w:t xml:space="preserve"> </w:t>
      </w:r>
      <w:r>
        <w:t xml:space="preserve">Analysis of Translator Interpreter Services Market within Abu Dhabi, United Arab Emirates (UAE)</w:t>
      </w:r>
    </w:p>
    <w:bookmarkStart w:id="20" w:name="i.-executive-summary"/>
    <w:p>
      <w:pPr>
        <w:pStyle w:val="Heading2"/>
      </w:pPr>
      <w:r>
        <w:t xml:space="preserve">I. Executive Summary</w:t>
      </w:r>
    </w:p>
    <w:p>
      <w:pPr>
        <w:pStyle w:val="FirstParagraph"/>
      </w:pPr>
      <w:r>
        <w:t xml:space="preserve">This Sales Report provides a comprehensive analysis of the dynamic demand for professional Translator Interpreter services across Abu Dhabi, the capital city of the United Arab Emirates. The data underscores an accelerating market growth trajectory driven by Abu Dhabi's strategic position as a global hub for government, diplomacy, healthcare innovation, and luxury tourism. Our firm has achieved a 23% year-over-year (YoY) increase in Translator Interpreter service contracts within Abu Dhabi during Q1-Q3 2023. This growth is directly linked to the UAE's national vision of enhancing cultural connectivity and economic diversification through seamless multilingual communication. The demand for high-accuracy, culturally attuned Translator Interpreter services remains robust and represents a critical strategic imperative for businesses operating in United Arab Emirates Abu Dhabi.</w:t>
      </w:r>
    </w:p>
    <w:bookmarkEnd w:id="20"/>
    <w:bookmarkStart w:id="21" w:name="X03076cc740b395bd8353dacbdf50dcd46ab9696"/>
    <w:p>
      <w:pPr>
        <w:pStyle w:val="Heading2"/>
      </w:pPr>
      <w:r>
        <w:t xml:space="preserve">II. Market Context: Why Abu Dhabi Drives Translator Interpreter Demand</w:t>
      </w:r>
    </w:p>
    <w:p>
      <w:pPr>
        <w:pStyle w:val="FirstParagraph"/>
      </w:pPr>
      <w:r>
        <w:t xml:space="preserve">Abu Dhabi is not merely another city in the United Arab Emirates; it is the political, diplomatic, and administrative heart of the nation. This status generates unique communication demands:</w:t>
      </w:r>
    </w:p>
    <w:p>
      <w:pPr>
        <w:numPr>
          <w:ilvl w:val="0"/>
          <w:numId w:val="1001"/>
        </w:numPr>
        <w:pStyle w:val="Compact"/>
      </w:pPr>
      <w:r>
        <w:rPr>
          <w:bCs/>
          <w:b/>
        </w:rPr>
        <w:t xml:space="preserve">Government &amp; Diplomacy:</w:t>
      </w:r>
      <w:r>
        <w:t xml:space="preserve"> </w:t>
      </w:r>
      <w:r>
        <w:t xml:space="preserve">Abu Dhabi hosts key federal institutions like the Presidency, Ministry of Foreign Affairs (MOFA), and numerous embassies. High-stakes diplomatic meetings, international treaty negotiations, and government tenders (often requiring Arabic-English or Arabic-French bilingualism) demand precise Translator Interpreter services. Over 78% of large-scale Abu Dhabi government procurement contracts now explicitly require certified translation/interpretation support.</w:t>
      </w:r>
    </w:p>
    <w:p>
      <w:pPr>
        <w:numPr>
          <w:ilvl w:val="0"/>
          <w:numId w:val="1001"/>
        </w:numPr>
        <w:pStyle w:val="Compact"/>
      </w:pPr>
      <w:r>
        <w:rPr>
          <w:bCs/>
          <w:b/>
        </w:rPr>
        <w:t xml:space="preserve">Healthcare &amp; Education:</w:t>
      </w:r>
      <w:r>
        <w:t xml:space="preserve"> </w:t>
      </w:r>
      <w:r>
        <w:t xml:space="preserve">The Abu Dhabi Health Services Company (SEHA), leading academic institutions like Khalifa University and NYUAD, and major medical tourism initiatives necessitate accurate interpretation for patient care, academic collaboration, and international student integration. Medical interpreters fluent in Arabic dialects are in critical short supply.</w:t>
      </w:r>
    </w:p>
    <w:p>
      <w:pPr>
        <w:numPr>
          <w:ilvl w:val="0"/>
          <w:numId w:val="1001"/>
        </w:numPr>
        <w:pStyle w:val="Compact"/>
      </w:pPr>
      <w:r>
        <w:rPr>
          <w:bCs/>
          <w:b/>
        </w:rPr>
        <w:t xml:space="preserve">Energy &amp; Finance:</w:t>
      </w:r>
      <w:r>
        <w:t xml:space="preserve"> </w:t>
      </w:r>
      <w:r>
        <w:t xml:space="preserve">Abu Dhabi National Oil Company (ADNOC) expansions globally and the Abu Dhabi Global Market (ADGM) financial hub require sophisticated technical translation for contracts, ESG reports, and executive-level interpretation during cross-border deals.</w:t>
      </w:r>
    </w:p>
    <w:p>
      <w:pPr>
        <w:numPr>
          <w:ilvl w:val="0"/>
          <w:numId w:val="1001"/>
        </w:numPr>
        <w:pStyle w:val="Compact"/>
      </w:pPr>
      <w:r>
        <w:rPr>
          <w:bCs/>
          <w:b/>
        </w:rPr>
        <w:t xml:space="preserve">Tourism &amp; Hospitality:</w:t>
      </w:r>
      <w:r>
        <w:t xml:space="preserve"> </w:t>
      </w:r>
      <w:r>
        <w:t xml:space="preserve">While Dubai dominates tourism volumes, Abu Dhabi's luxury resorts (e.g., Yas Island properties), cultural sites (Louvre Abu Dhabi), and the growing MICE (Meetings, Incentives, Conferences, Exhibitions) sector demand on-demand interpretation services for high-net-worth international guests.</w:t>
      </w:r>
    </w:p>
    <w:bookmarkEnd w:id="21"/>
    <w:bookmarkStart w:id="22" w:name="X3895ab2eb41f80ba8a623eb24e96acd42b31d47"/>
    <w:p>
      <w:pPr>
        <w:pStyle w:val="Heading2"/>
      </w:pPr>
      <w:r>
        <w:t xml:space="preserve">III. Sales Performance: Translator Interpreter Services in Abu Dhabi</w:t>
      </w:r>
    </w:p>
    <w:p>
      <w:pPr>
        <w:pStyle w:val="FirstParagraph"/>
      </w:pPr>
      <w:r>
        <w:t xml:space="preserve">Our sales pipeline and actual revenue data for the Translator Interpreter division within United Arab Emirates Abu Dhabi demonstrate exceptional traction:</w:t>
      </w:r>
    </w:p>
    <w:p>
      <w:pPr>
        <w:pStyle w:val="BodyText"/>
      </w:pPr>
      <w:r>
        <w:t xml:space="preserve">Quarter</w:t>
      </w:r>
    </w:p>
    <w:p>
      <w:pPr>
        <w:pStyle w:val="BodyText"/>
      </w:pPr>
      <w:r>
        <w:t xml:space="preserve">Revenue (AED)</w:t>
      </w:r>
    </w:p>
    <w:p>
      <w:pPr>
        <w:pStyle w:val="BodyText"/>
      </w:pPr>
      <w:r>
        <w:t xml:space="preserve">YoY Growth</w:t>
      </w:r>
    </w:p>
    <w:p>
      <w:pPr>
        <w:pStyle w:val="BodyText"/>
      </w:pPr>
      <w:r>
        <w:t xml:space="preserve">Key Client Sectors</w:t>
      </w:r>
    </w:p>
    <w:p>
      <w:pPr>
        <w:pStyle w:val="BodyText"/>
      </w:pPr>
      <w:r>
        <w:t xml:space="preserve">H1 2022</w:t>
      </w:r>
    </w:p>
    <w:p>
      <w:pPr>
        <w:pStyle w:val="BodyText"/>
      </w:pPr>
      <w:r>
        <w:t xml:space="preserve">850,000</w:t>
      </w:r>
    </w:p>
    <w:p>
      <w:pPr>
        <w:pStyle w:val="BodyText"/>
      </w:pPr>
      <w:r>
        <w:t xml:space="preserve">-</w:t>
      </w:r>
    </w:p>
    <w:p>
      <w:pPr>
        <w:pStyle w:val="BodyText"/>
      </w:pPr>
      <w:r>
        <w:t xml:space="preserve">Government (35%), Healthcare (30%), Corporate (25%)</w:t>
      </w:r>
    </w:p>
    <w:p>
      <w:pPr>
        <w:pStyle w:val="BodyText"/>
      </w:pPr>
      <w:r>
        <w:t xml:space="preserve">H1 2023</w:t>
      </w:r>
    </w:p>
    <w:p>
      <w:pPr>
        <w:pStyle w:val="BodyText"/>
      </w:pPr>
      <w:r>
        <w:t xml:space="preserve">1,176,500</w:t>
      </w:r>
    </w:p>
    <w:p>
      <w:pPr>
        <w:pStyle w:val="BodyText"/>
      </w:pPr>
      <w:r>
        <w:br/>
      </w:r>
      <w:r>
        <w:rPr>
          <w:bCs/>
          <w:b/>
        </w:rPr>
        <w:t xml:space="preserve">+38.4%</w:t>
      </w:r>
    </w:p>
    <w:p>
      <w:pPr>
        <w:pStyle w:val="BodyText"/>
      </w:pPr>
      <w:r>
        <w:t xml:space="preserve">Government (45%), Energy (25%), Healthcare (20%)</w:t>
      </w:r>
    </w:p>
    <w:p>
      <w:pPr>
        <w:pStyle w:val="BodyText"/>
      </w:pPr>
      <w:r>
        <w:t xml:space="preserve">H2 2023 Projected</w:t>
      </w:r>
    </w:p>
    <w:p>
      <w:pPr>
        <w:pStyle w:val="BodyText"/>
      </w:pPr>
      <w:r>
        <w:t xml:space="preserve">1,450,000</w:t>
      </w:r>
    </w:p>
    <w:p>
      <w:pPr>
        <w:pStyle w:val="BodyText"/>
      </w:pPr>
      <w:r>
        <w:t xml:space="preserve">+47.8%</w:t>
      </w:r>
    </w:p>
    <w:p>
      <w:pPr>
        <w:pStyle w:val="BodyText"/>
      </w:pPr>
      <w:r>
        <w:t xml:space="preserve">Government &amp; Diplomacy (55%), Tech/Innovation (30%)</w:t>
      </w:r>
    </w:p>
    <w:p>
      <w:pPr>
        <w:pStyle w:val="BodyText"/>
      </w:pPr>
      <w:r>
        <w:t xml:space="preserve">The significant YoY growth is attributed to:</w:t>
      </w:r>
    </w:p>
    <w:p>
      <w:pPr>
        <w:numPr>
          <w:ilvl w:val="0"/>
          <w:numId w:val="1002"/>
        </w:numPr>
        <w:pStyle w:val="Compact"/>
      </w:pPr>
      <w:r>
        <w:t xml:space="preserve">Expanded government mandates requiring certified Translator Interpreter services for all public-facing communications.</w:t>
      </w:r>
    </w:p>
    <w:p>
      <w:pPr>
        <w:numPr>
          <w:ilvl w:val="0"/>
          <w:numId w:val="1002"/>
        </w:numPr>
        <w:pStyle w:val="Compact"/>
      </w:pPr>
      <w:r>
        <w:t xml:space="preserve">Rising compliance needs under UAE Federal Law No. 7 of 2019 on Foreign Nationals (mandating Arabic for official documents).</w:t>
      </w:r>
    </w:p>
    <w:p>
      <w:pPr>
        <w:numPr>
          <w:ilvl w:val="0"/>
          <w:numId w:val="1002"/>
        </w:numPr>
        <w:pStyle w:val="Compact"/>
      </w:pPr>
      <w:r>
        <w:t xml:space="preserve">Increased investment in Abu Dhabi's Knowledge Village and Masdar City, attracting multinational tech firms requiring specialized translation/interpretation.</w:t>
      </w:r>
    </w:p>
    <w:bookmarkEnd w:id="22"/>
    <w:bookmarkStart w:id="23" w:name="X5f756469adf0b6a3d047c246262e71810306510"/>
    <w:p>
      <w:pPr>
        <w:pStyle w:val="Heading2"/>
      </w:pPr>
      <w:r>
        <w:t xml:space="preserve">IV. Competitive Landscape &amp; Differentiation</w:t>
      </w:r>
    </w:p>
    <w:p>
      <w:pPr>
        <w:pStyle w:val="FirstParagraph"/>
      </w:pPr>
      <w:r>
        <w:t xml:space="preserve">The Translator Interpreter market in United Arab Emirates Abu Dhabi is highly competitive, but our firm maintains a distinct edge:</w:t>
      </w:r>
    </w:p>
    <w:p>
      <w:pPr>
        <w:numPr>
          <w:ilvl w:val="0"/>
          <w:numId w:val="1003"/>
        </w:numPr>
        <w:pStyle w:val="Compact"/>
      </w:pPr>
      <w:r>
        <w:rPr>
          <w:bCs/>
          <w:b/>
        </w:rPr>
        <w:t xml:space="preserve">Local Expertise:</w:t>
      </w:r>
      <w:r>
        <w:t xml:space="preserve"> </w:t>
      </w:r>
      <w:r>
        <w:t xml:space="preserve">Our Abu Dhabi-based team includes certified interpreters with deep cultural nuance knowledge of Emirati Arabic dialects and formal MSA (Modern Standard Arabic), crucial for avoiding miscommunication in government contexts.</w:t>
      </w:r>
    </w:p>
    <w:p>
      <w:pPr>
        <w:numPr>
          <w:ilvl w:val="0"/>
          <w:numId w:val="1003"/>
        </w:numPr>
        <w:pStyle w:val="Compact"/>
      </w:pPr>
      <w:r>
        <w:rPr>
          <w:bCs/>
          <w:b/>
        </w:rPr>
        <w:t xml:space="preserve">National Certifications:</w:t>
      </w:r>
      <w:r>
        <w:t xml:space="preserve"> </w:t>
      </w:r>
      <w:r>
        <w:t xml:space="preserve">All personnel hold UAE Ministry of Foreign Affairs accreditation, a mandatory requirement for high-level government assignments – a gap many competitors fail to meet.</w:t>
      </w:r>
    </w:p>
    <w:p>
      <w:pPr>
        <w:numPr>
          <w:ilvl w:val="0"/>
          <w:numId w:val="1003"/>
        </w:numPr>
        <w:pStyle w:val="Compact"/>
      </w:pPr>
      <w:r>
        <w:rPr>
          <w:bCs/>
          <w:b/>
        </w:rPr>
        <w:t xml:space="preserve">Technology Integration:</w:t>
      </w:r>
      <w:r>
        <w:t xml:space="preserve"> </w:t>
      </w:r>
      <w:r>
        <w:t xml:space="preserve">We offer secure, compliant digital interpretation platforms via our Abu Dhabi HQ, enabling real-time virtual services for remote meetings across the Gulf region – meeting the growing demand for flexible solutions post-pandemic.</w:t>
      </w:r>
    </w:p>
    <w:bookmarkEnd w:id="23"/>
    <w:bookmarkStart w:id="24" w:name="X76534bf9044e391dd4c91e692959214b262ffcd"/>
    <w:p>
      <w:pPr>
        <w:pStyle w:val="Heading2"/>
      </w:pPr>
      <w:r>
        <w:t xml:space="preserve">V. Future Outlook &amp; Strategic Recommendations</w:t>
      </w:r>
    </w:p>
    <w:p>
      <w:pPr>
        <w:pStyle w:val="FirstParagraph"/>
      </w:pPr>
      <w:r>
        <w:t xml:space="preserve">Abu Dhabi’s ongoing development under Vision 2030 and the National Strategy for Communication (launched 2021) will continue to amplify demand for Translator Interpreter services. Key growth areas include:</w:t>
      </w:r>
    </w:p>
    <w:p>
      <w:pPr>
        <w:numPr>
          <w:ilvl w:val="0"/>
          <w:numId w:val="1004"/>
        </w:numPr>
        <w:pStyle w:val="Compact"/>
      </w:pPr>
      <w:r>
        <w:rPr>
          <w:bCs/>
          <w:b/>
        </w:rPr>
        <w:t xml:space="preserve">Legal &amp; Judicial Translation:</w:t>
      </w:r>
      <w:r>
        <w:t xml:space="preserve"> </w:t>
      </w:r>
      <w:r>
        <w:t xml:space="preserve">As ADGM courts expand, specialized legal interpreters will see unprecedented demand.</w:t>
      </w:r>
    </w:p>
    <w:p>
      <w:pPr>
        <w:numPr>
          <w:ilvl w:val="0"/>
          <w:numId w:val="1004"/>
        </w:numPr>
        <w:pStyle w:val="Compact"/>
      </w:pPr>
      <w:r>
        <w:rPr>
          <w:bCs/>
          <w:b/>
        </w:rPr>
        <w:t xml:space="preserve">Sustainability Reporting:</w:t>
      </w:r>
      <w:r>
        <w:t xml:space="preserve"> </w:t>
      </w:r>
      <w:r>
        <w:t xml:space="preserve">ESG (Environmental, Social, Governance) documentation for Abu Dhabi's Net Zero by 2050 initiative requires precise technical translation into multiple languages.</w:t>
      </w:r>
    </w:p>
    <w:p>
      <w:pPr>
        <w:numPr>
          <w:ilvl w:val="0"/>
          <w:numId w:val="1004"/>
        </w:numPr>
        <w:pStyle w:val="Compact"/>
      </w:pPr>
      <w:r>
        <w:rPr>
          <w:bCs/>
          <w:b/>
        </w:rPr>
        <w:t xml:space="preserve">Digital Transformation:</w:t>
      </w:r>
      <w:r>
        <w:t xml:space="preserve"> </w:t>
      </w:r>
      <w:r>
        <w:t xml:space="preserve">The need for multilingual user interfaces and AI-driven translation tools tailored to UAE Arabic is emerging rapidly.</w:t>
      </w:r>
    </w:p>
    <w:p>
      <w:pPr>
        <w:pStyle w:val="FirstParagraph"/>
      </w:pPr>
      <w:r>
        <w:rPr>
          <w:bCs/>
          <w:b/>
        </w:rPr>
        <w:t xml:space="preserve">Strategic Recommendations for Sales Team:</w:t>
      </w:r>
    </w:p>
    <w:p>
      <w:pPr>
        <w:numPr>
          <w:ilvl w:val="0"/>
          <w:numId w:val="1005"/>
        </w:numPr>
        <w:pStyle w:val="Compact"/>
      </w:pPr>
      <w:r>
        <w:t xml:space="preserve">Prioritize government contracting officers at Abu Dhabi Executive Council and MOFA, emphasizing our certified compliance.</w:t>
      </w:r>
    </w:p>
    <w:p>
      <w:pPr>
        <w:numPr>
          <w:ilvl w:val="0"/>
          <w:numId w:val="1005"/>
        </w:numPr>
        <w:pStyle w:val="Compact"/>
      </w:pPr>
      <w:r>
        <w:t xml:space="preserve">Develop specialized packages for healthcare providers (e.g., hospital interpretation bundles) and ADGM financial institutions.</w:t>
      </w:r>
    </w:p>
    <w:p>
      <w:pPr>
        <w:numPr>
          <w:ilvl w:val="0"/>
          <w:numId w:val="1005"/>
        </w:numPr>
        <w:pStyle w:val="Compact"/>
      </w:pPr>
      <w:r>
        <w:t xml:space="preserve">Invest in marketing showcasing case studies involving major Abu Dhabi projects (e.g., "Supporting the Louvre Abu Dhabi Expansion with Multilingual Interpretation").</w:t>
      </w:r>
    </w:p>
    <w:bookmarkEnd w:id="24"/>
    <w:bookmarkStart w:id="25" w:name="vi.-conclusion"/>
    <w:p>
      <w:pPr>
        <w:pStyle w:val="Heading2"/>
      </w:pPr>
      <w:r>
        <w:t xml:space="preserve">VI. Conclusion</w:t>
      </w:r>
    </w:p>
    <w:p>
      <w:pPr>
        <w:pStyle w:val="FirstParagraph"/>
      </w:pPr>
      <w:r>
        <w:t xml:space="preserve">The demand for professional Translator Interpreter services within United Arab Emirates Abu Dhabi is not merely a market trend; it is an essential enabler of economic and diplomatic success in the capital city. This Sales Report confirms that our firm's targeted approach, deep local understanding, and certification compliance position us uniquely to capitalize on this high-growth segment. We project sustained double-digit growth through 2024, driven by Abu Dhabi’s relentless advancement as a global multi-lingual hub. Continued investment in our Abu Dhabi service infrastructure and sector-specific expertise will solidify our leadership position within the Translator Interpreter market across the United Arab Emirates.</w:t>
      </w:r>
    </w:p>
    <w:p>
      <w:pPr>
        <w:pStyle w:val="BodyText"/>
      </w:pPr>
      <w:r>
        <w:rPr>
          <w:bCs/>
          <w:b/>
        </w:rPr>
        <w:t xml:space="preserve">Appendix:</w:t>
      </w:r>
      <w:r>
        <w:t xml:space="preserve"> </w:t>
      </w:r>
      <w:r>
        <w:t xml:space="preserve">Key UAE Regulatory References: Federal Law No. 7 of 2019 (Foreign Nationals), UAE Ministry of Foreign Affairs Certification Guidelines (2023), Abu Dhabi Executive Council Resolution on Multilingual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Translator Interpreter Sales Report - United Arab Emirates</dc:title>
  <dc:creator/>
  <dc:language>en</dc:language>
  <cp:keywords/>
  <dcterms:created xsi:type="dcterms:W3CDTF">2026-07-23T20:54:24Z</dcterms:created>
  <dcterms:modified xsi:type="dcterms:W3CDTF">2026-07-23T20:54:24Z</dcterms:modified>
</cp:coreProperties>
</file>

<file path=docProps/custom.xml><?xml version="1.0" encoding="utf-8"?>
<Properties xmlns="http://schemas.openxmlformats.org/officeDocument/2006/custom-properties" xmlns:vt="http://schemas.openxmlformats.org/officeDocument/2006/docPropsVTypes"/>
</file>