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7" w:name="X8698f4f42a3cf6355729ecfe09426cf2240e3d1"/>
    <w:p>
      <w:pPr>
        <w:pStyle w:val="Heading1"/>
      </w:pPr>
      <w:r>
        <w:t xml:space="preserve">Sales Report: Performance of Translator Interpreter Services Across the United Kingdom London Market</w:t>
      </w:r>
    </w:p>
    <w:p>
      <w:pPr>
        <w:pStyle w:val="FirstParagraph"/>
      </w:pPr>
      <w:r>
        <w:rPr>
          <w:bCs/>
          <w:b/>
        </w:rPr>
        <w:t xml:space="preserve">Prepared for:</w:t>
      </w:r>
      <w:r>
        <w:t xml:space="preserve"> </w:t>
      </w:r>
      <w:r>
        <w:t xml:space="preserve">Executive Leadership, Global Language Solutions UK</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core Translator Interpreter services division within the United Kingdom London market, a critical hub for linguistic diversity and high-stakes multilingual communication. Despite ongoing economic pressures, our London operations achieved significant growth in Q3 2023, driven by heightened demand across legal, healthcare, and public sector verticals. The strategic focus on certified</w:t>
      </w:r>
      <w:r>
        <w:t xml:space="preserve"> </w:t>
      </w:r>
      <w:r>
        <w:rPr>
          <w:bCs/>
          <w:b/>
        </w:rPr>
        <w:t xml:space="preserve">Translator Interpreter</w:t>
      </w:r>
      <w:r>
        <w:t xml:space="preserve"> </w:t>
      </w:r>
      <w:r>
        <w:t xml:space="preserve">talent acquisition and client relationship management directly contributed to a 15% year-over-year revenue increase within the United Kingdom London territory. This document underscores the continued relevance of professional language services in navigating London's complex sociolinguistic landscape.</w:t>
      </w:r>
    </w:p>
    <w:bookmarkEnd w:id="20"/>
    <w:bookmarkStart w:id="21" w:name="X033c514a9efdad3262f8ab994e03f345065facd"/>
    <w:p>
      <w:pPr>
        <w:pStyle w:val="Heading2"/>
      </w:pPr>
      <w:r>
        <w:t xml:space="preserve">II. Market Context: Translator Interpreter Demand in United Kingdom London</w:t>
      </w:r>
    </w:p>
    <w:p>
      <w:pPr>
        <w:pStyle w:val="FirstParagraph"/>
      </w:pPr>
      <w:r>
        <w:t xml:space="preserve">London stands as the most linguistically diverse city in the world, with over 300 languages spoken across its boroughs. This unique demographic reality creates a persistent and expanding market for professional</w:t>
      </w:r>
      <w:r>
        <w:t xml:space="preserve"> </w:t>
      </w:r>
      <w:r>
        <w:rPr>
          <w:bCs/>
          <w:b/>
        </w:rPr>
        <w:t xml:space="preserve">Translator Interpreter</w:t>
      </w:r>
      <w:r>
        <w:t xml:space="preserve"> </w:t>
      </w:r>
      <w:r>
        <w:t xml:space="preserve">services within the United Kingdom. The post-Brexit regulatory environment, coupled with increased immigration flows and a growing refugee population, has intensified demand in sectors requiring precise communication: the National Health Service (NHS), local government authorities (e.g., City of London Corporation, Tower Hamlets Council), legal firms handling international cases, and multinational corporations headquartered in the capital. Our data confirms that 68% of London-based client requests specifically cite 'critical need for certified interpreters' as a primary driver for service selection.</w:t>
      </w:r>
    </w:p>
    <w:p>
      <w:pPr>
        <w:pStyle w:val="BodyText"/>
      </w:pPr>
      <w:r>
        <w:t xml:space="preserve">Furthermore, the United Kingdom government's ongoing focus on inclusive public services has elevated language access from a compliance matter to a core operational necessity. The NHS Long Term Plan explicitly mandates effective communication for non-English speakers, directly fueling our</w:t>
      </w:r>
      <w:r>
        <w:t xml:space="preserve"> </w:t>
      </w:r>
      <w:r>
        <w:rPr>
          <w:bCs/>
          <w:b/>
        </w:rPr>
        <w:t xml:space="preserve">Translator Interpreter</w:t>
      </w:r>
      <w:r>
        <w:t xml:space="preserve"> </w:t>
      </w:r>
      <w:r>
        <w:t xml:space="preserve">sales in healthcare. London boroughs like Newham and Brent report over 40% of their population speaking a language other than English at home, making professional language services not just beneficial, but essential for service delivery.</w:t>
      </w:r>
    </w:p>
    <w:bookmarkEnd w:id="21"/>
    <w:bookmarkStart w:id="22" w:name="Xd0b6a81ece0cb9dbb414dccab1020b6a7fcdf76"/>
    <w:p>
      <w:pPr>
        <w:pStyle w:val="Heading2"/>
      </w:pPr>
      <w:r>
        <w:t xml:space="preserve">III. Q3 2023 Sales Performance: United Kingdom London</w:t>
      </w:r>
    </w:p>
    <w:p>
      <w:pPr>
        <w:pStyle w:val="FirstParagraph"/>
      </w:pPr>
      <w:r>
        <w:t xml:space="preserve">Our London sales team achieved remarkable results in Q3 2023:</w:t>
      </w:r>
    </w:p>
    <w:p>
      <w:pPr>
        <w:numPr>
          <w:ilvl w:val="0"/>
          <w:numId w:val="1001"/>
        </w:numPr>
        <w:pStyle w:val="Compact"/>
      </w:pPr>
      <w:r>
        <w:rPr>
          <w:bCs/>
          <w:b/>
        </w:rPr>
        <w:t xml:space="preserve">Revenue Growth:</w:t>
      </w:r>
      <w:r>
        <w:t xml:space="preserve"> </w:t>
      </w:r>
      <w:r>
        <w:t xml:space="preserve">£1.85 million, representing a 15% increase compared to Q3 2022 and exceeding the London regional target by 7%. This growth was primarily driven by new contracts with major NHS trusts (e.g., King's Health Partners) and the Greater London Authority.</w:t>
      </w:r>
    </w:p>
    <w:p>
      <w:pPr>
        <w:numPr>
          <w:ilvl w:val="0"/>
          <w:numId w:val="1001"/>
        </w:numPr>
        <w:pStyle w:val="Compact"/>
      </w:pPr>
      <w:r>
        <w:rPr>
          <w:bCs/>
          <w:b/>
        </w:rPr>
        <w:t xml:space="preserve">Client Acquisition:</w:t>
      </w:r>
      <w:r>
        <w:t xml:space="preserve"> </w:t>
      </w:r>
      <w:r>
        <w:t xml:space="preserve">Secured 18 new enterprise-level clients in the legal sector (including top-tier City law firms) and 12 healthcare provider contracts, a significant increase from previous quarters.</w:t>
      </w:r>
    </w:p>
    <w:p>
      <w:pPr>
        <w:numPr>
          <w:ilvl w:val="0"/>
          <w:numId w:val="1001"/>
        </w:numPr>
        <w:pStyle w:val="Compact"/>
      </w:pPr>
      <w:r>
        <w:rPr>
          <w:bCs/>
          <w:b/>
        </w:rPr>
        <w:t xml:space="preserve">Sales Pipeline Health:</w:t>
      </w:r>
      <w:r>
        <w:t xml:space="preserve"> </w:t>
      </w:r>
      <w:r>
        <w:t xml:space="preserve">The London sales pipeline for Q4 shows a strong commitment to growth, with £3.2 million in qualified opportunities, 95% of which are for</w:t>
      </w:r>
      <w:r>
        <w:t xml:space="preserve"> </w:t>
      </w:r>
      <w:r>
        <w:rPr>
          <w:bCs/>
          <w:b/>
        </w:rPr>
        <w:t xml:space="preserve">Translator Interpreter</w:t>
      </w:r>
      <w:r>
        <w:t xml:space="preserve"> </w:t>
      </w:r>
      <w:r>
        <w:t xml:space="preserve">services (vs. 87% last year), indicating increasing client understanding of service value.</w:t>
      </w:r>
    </w:p>
    <w:p>
      <w:pPr>
        <w:numPr>
          <w:ilvl w:val="0"/>
          <w:numId w:val="1001"/>
        </w:numPr>
        <w:pStyle w:val="Compact"/>
      </w:pPr>
      <w:r>
        <w:rPr>
          <w:bCs/>
          <w:b/>
        </w:rPr>
        <w:t xml:space="preserve">Certification Focus:</w:t>
      </w:r>
      <w:r>
        <w:t xml:space="preserve"> </w:t>
      </w:r>
      <w:r>
        <w:t xml:space="preserve">92% of all billable hours in London were delivered by certified professionals holding relevant accreditation (e.g., Chartered Institute of Linguists, National Registers). This focus on quality directly contributed to a 35% reduction in client complaints related to service accuracy compared to Q2.</w:t>
      </w:r>
    </w:p>
    <w:bookmarkEnd w:id="22"/>
    <w:bookmarkStart w:id="23" w:name="iv.-key-drivers-of-success-in-london"/>
    <w:p>
      <w:pPr>
        <w:pStyle w:val="Heading2"/>
      </w:pPr>
      <w:r>
        <w:t xml:space="preserve">IV. Key Drivers of Success in London</w:t>
      </w:r>
    </w:p>
    <w:p>
      <w:pPr>
        <w:pStyle w:val="FirstParagraph"/>
      </w:pPr>
      <w:r>
        <w:t xml:space="preserve">The exceptional performance in the United Kingdom London market stems from several strategic pillars:</w:t>
      </w:r>
    </w:p>
    <w:p>
      <w:pPr>
        <w:numPr>
          <w:ilvl w:val="0"/>
          <w:numId w:val="1002"/>
        </w:numPr>
        <w:pStyle w:val="Compact"/>
      </w:pPr>
      <w:r>
        <w:rPr>
          <w:bCs/>
          <w:b/>
        </w:rPr>
        <w:t xml:space="preserve">Hyper-Local Talent Sourcing:</w:t>
      </w:r>
      <w:r>
        <w:t xml:space="preserve"> </w:t>
      </w:r>
      <w:r>
        <w:t xml:space="preserve">We established a dedicated recruitment hub within central London, enabling rapid onboarding of specialized translators and interpreters fluent in high-demand languages (Arabic, Polish, Mandarin, Urdu). This reduced average client onboarding time by 40%.</w:t>
      </w:r>
    </w:p>
    <w:p>
      <w:pPr>
        <w:numPr>
          <w:ilvl w:val="0"/>
          <w:numId w:val="1002"/>
        </w:numPr>
        <w:pStyle w:val="Compact"/>
      </w:pPr>
      <w:r>
        <w:rPr>
          <w:bCs/>
          <w:b/>
        </w:rPr>
        <w:t xml:space="preserve">Sector-Specific Expertise:</w:t>
      </w:r>
      <w:r>
        <w:t xml:space="preserve"> </w:t>
      </w:r>
      <w:r>
        <w:t xml:space="preserve">Developing deep knowledge in London's dominant sectors – particularly legal proceedings requiring simultaneous interpretation for Crown Court cases and healthcare interpreting for mental health assessments – allowed us to tailor solutions precisely, moving beyond generic service provision.</w:t>
      </w:r>
    </w:p>
    <w:p>
      <w:pPr>
        <w:numPr>
          <w:ilvl w:val="0"/>
          <w:numId w:val="1002"/>
        </w:numPr>
        <w:pStyle w:val="Compact"/>
      </w:pPr>
      <w:r>
        <w:rPr>
          <w:bCs/>
          <w:b/>
        </w:rPr>
        <w:t xml:space="preserve">Technology Integration:</w:t>
      </w:r>
      <w:r>
        <w:t xml:space="preserve"> </w:t>
      </w:r>
      <w:r>
        <w:t xml:space="preserve">Implementing our secure, cloud-based platform (accessed extensively by London clients) improved scheduling efficiency by 30% and provided real-time translation quality metrics valued by public sector clients seeking transparency.</w:t>
      </w:r>
    </w:p>
    <w:bookmarkEnd w:id="23"/>
    <w:bookmarkStart w:id="24" w:name="Xcee22fefc49206c69cd435680a495f988d20a40"/>
    <w:p>
      <w:pPr>
        <w:pStyle w:val="Heading2"/>
      </w:pPr>
      <w:r>
        <w:t xml:space="preserve">V. Challenges and Strategic Opportunities</w:t>
      </w:r>
    </w:p>
    <w:p>
      <w:pPr>
        <w:pStyle w:val="FirstParagraph"/>
      </w:pPr>
      <w:r>
        <w:t xml:space="preserve">While results are strong, challenges remain specific to the United Kingdom London market. The most significant is the acute shortage of certified interpreters for certain languages (e.g., Pashto, Somali), creating a bottleneck in high-volume demand periods like asylum processing peaks. Our Q3 sales data indicates 22% of potential contracts were deferred due to interpreter availability constraints.</w:t>
      </w:r>
    </w:p>
    <w:p>
      <w:pPr>
        <w:pStyle w:val="BodyText"/>
      </w:pPr>
      <w:r>
        <w:t xml:space="preserve">Opportunities are substantial and aligned with London's trajectory:</w:t>
      </w:r>
    </w:p>
    <w:p>
      <w:pPr>
        <w:numPr>
          <w:ilvl w:val="0"/>
          <w:numId w:val="1003"/>
        </w:numPr>
        <w:pStyle w:val="Compact"/>
      </w:pPr>
      <w:r>
        <w:rPr>
          <w:bCs/>
          <w:b/>
        </w:rPr>
        <w:t xml:space="preserve">Post-UKCA Transition Services:</w:t>
      </w:r>
      <w:r>
        <w:t xml:space="preserve"> </w:t>
      </w:r>
      <w:r>
        <w:t xml:space="preserve">Demand for translating technical documentation under new UK regulatory standards is surging, particularly in West London's technology clusters.</w:t>
      </w:r>
    </w:p>
    <w:p>
      <w:pPr>
        <w:numPr>
          <w:ilvl w:val="0"/>
          <w:numId w:val="1003"/>
        </w:numPr>
        <w:pStyle w:val="Compact"/>
      </w:pPr>
      <w:r>
        <w:rPr>
          <w:bCs/>
          <w:b/>
        </w:rPr>
        <w:t xml:space="preserve">Digital Transformation Partnerships:</w:t>
      </w:r>
      <w:r>
        <w:t xml:space="preserve"> </w:t>
      </w:r>
      <w:r>
        <w:t xml:space="preserve">Collaborating with London-based health tech companies to integrate real-time translation APIs into patient portals presents a scalable revenue stream.</w:t>
      </w:r>
    </w:p>
    <w:p>
      <w:pPr>
        <w:numPr>
          <w:ilvl w:val="0"/>
          <w:numId w:val="1003"/>
        </w:numPr>
        <w:pStyle w:val="Compact"/>
      </w:pPr>
      <w:r>
        <w:rPr>
          <w:bCs/>
          <w:b/>
        </w:rPr>
        <w:t xml:space="preserve">London-Specific Compliance Training:</w:t>
      </w:r>
      <w:r>
        <w:t xml:space="preserve"> </w:t>
      </w:r>
      <w:r>
        <w:t xml:space="preserve">Developing bespoke training modules for NHS staff on working effectively with professional</w:t>
      </w:r>
      <w:r>
        <w:t xml:space="preserve"> </w:t>
      </w:r>
      <w:r>
        <w:rPr>
          <w:bCs/>
          <w:b/>
        </w:rPr>
        <w:t xml:space="preserve">Translator Interpreter</w:t>
      </w:r>
      <w:r>
        <w:t xml:space="preserve"> </w:t>
      </w:r>
      <w:r>
        <w:t xml:space="preserve">services is identified as a high-potential add-on service, with 30 pilot organizations expressing interest.</w:t>
      </w:r>
    </w:p>
    <w:bookmarkEnd w:id="24"/>
    <w:bookmarkStart w:id="25" w:name="vi.-conclusion-and-forward-look"/>
    <w:p>
      <w:pPr>
        <w:pStyle w:val="Heading2"/>
      </w:pPr>
      <w:r>
        <w:t xml:space="preserve">VI. Conclusion and Forward Look</w:t>
      </w:r>
    </w:p>
    <w:p>
      <w:pPr>
        <w:pStyle w:val="FirstParagraph"/>
      </w:pPr>
      <w:r>
        <w:t xml:space="preserve">The Q3 2023 Sales Report for the United Kingdom London market unequivocally demonstrates the indispensable role of professional Translator Interpreter services in supporting London's diverse population and complex institutions. Our growth trajectory confirms that clients recognize certified linguistic expertise as a non-negotiable element of quality service delivery, not merely a cost centre.</w:t>
      </w:r>
    </w:p>
    <w:p>
      <w:pPr>
        <w:pStyle w:val="BodyText"/>
      </w:pPr>
      <w:r>
        <w:t xml:space="preserve">Looking ahead to Q4 2023 and beyond, our strategic priority is scaling the talent pipeline for critical languages while deepening partnerships within London's public health and legal ecosystems. Investing in AI-assisted workflow tools specifically designed for London's high-volume operational environments will be crucial. Continued focus on delivering measurable outcomes – such as reduced patient no-show rates through improved communication or faster case processing times in courts – will solidify our position as the leading</w:t>
      </w:r>
      <w:r>
        <w:t xml:space="preserve"> </w:t>
      </w:r>
      <w:r>
        <w:rPr>
          <w:bCs/>
          <w:b/>
        </w:rPr>
        <w:t xml:space="preserve">Translator Interpreter</w:t>
      </w:r>
      <w:r>
        <w:t xml:space="preserve"> </w:t>
      </w:r>
      <w:r>
        <w:t xml:space="preserve">partner within the United Kingdom London market. The data is clear: effective language services are a strategic asset, and London remains its epicentre.</w:t>
      </w:r>
    </w:p>
    <w:bookmarkEnd w:id="25"/>
    <w:bookmarkStart w:id="26" w:name="X89d7499b908bd0a7d29f0105fe03c9b69c9d213"/>
    <w:p>
      <w:pPr>
        <w:pStyle w:val="Heading2"/>
      </w:pPr>
      <w:r>
        <w:t xml:space="preserve">VII. Appendix: Key Performance Indicators (London,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Value</w:t>
            </w:r>
          </w:p>
        </w:tc>
        <w:tc>
          <w:tcPr/>
          <w:p>
            <w:pPr>
              <w:pStyle w:val="Compact"/>
              <w:jc w:val="left"/>
            </w:pPr>
            <w:r>
              <w:t xml:space="preserve">YoY Change</w:t>
            </w:r>
          </w:p>
        </w:tc>
      </w:tr>
      <w:tr>
        <w:tc>
          <w:tcPr/>
          <w:p>
            <w:pPr>
              <w:pStyle w:val="Compact"/>
              <w:jc w:val="left"/>
            </w:pPr>
            <w:r>
              <w:t xml:space="preserve">Total Revenue (London)</w:t>
            </w:r>
          </w:p>
        </w:tc>
        <w:tc>
          <w:tcPr/>
          <w:p>
            <w:pPr>
              <w:pStyle w:val="Compact"/>
              <w:jc w:val="left"/>
            </w:pPr>
            <w:r>
              <w:t xml:space="preserve">£1.85M</w:t>
            </w:r>
          </w:p>
        </w:tc>
        <w:tc>
          <w:tcPr/>
          <w:p>
            <w:pPr>
              <w:pStyle w:val="Compact"/>
              <w:jc w:val="left"/>
            </w:pPr>
            <w:r>
              <w:t xml:space="preserve">+15%</w:t>
            </w:r>
          </w:p>
        </w:tc>
      </w:tr>
      <w:tr>
        <w:tc>
          <w:tcPr/>
          <w:p>
            <w:pPr>
              <w:pStyle w:val="Compact"/>
              <w:jc w:val="left"/>
            </w:pPr>
            <w:r>
              <w:t xml:space="preserve">New Clients Acquired (London)</w:t>
            </w:r>
          </w:p>
        </w:tc>
        <w:tc>
          <w:tcPr/>
          <w:p>
            <w:pPr>
              <w:pStyle w:val="Compact"/>
              <w:jc w:val="left"/>
            </w:pPr>
            <w:r>
              <w:t xml:space="preserve">30</w:t>
            </w:r>
          </w:p>
        </w:tc>
        <w:tc>
          <w:tcPr/>
          <w:p>
            <w:pPr>
              <w:pStyle w:val="Compact"/>
              <w:jc w:val="left"/>
            </w:pPr>
            <w:r>
              <w:t xml:space="preserve">+28%</w:t>
            </w:r>
          </w:p>
        </w:tc>
      </w:tr>
      <w:tr>
        <w:tc>
          <w:tcPr/>
          <w:p>
            <w:pPr>
              <w:pStyle w:val="Compact"/>
              <w:jc w:val="left"/>
            </w:pPr>
            <w:r>
              <w:t xml:space="preserve">Average Client Retention Rate</w:t>
            </w:r>
          </w:p>
        </w:tc>
        <w:tc>
          <w:tcPr/>
          <w:p>
            <w:pPr>
              <w:pStyle w:val="Compact"/>
              <w:jc w:val="left"/>
            </w:pPr>
            <w:r>
              <w:t xml:space="preserve">89%</w:t>
            </w:r>
          </w:p>
        </w:tc>
        <w:tc>
          <w:tcPr/>
          <w:p>
            <w:pPr>
              <w:pStyle w:val="Compact"/>
              <w:jc w:val="left"/>
            </w:pPr>
            <w:r>
              <w:t xml:space="preserve">+5% pts</w:t>
            </w:r>
          </w:p>
        </w:tc>
      </w:tr>
      <w:tr>
        <w:tc>
          <w:tcPr/>
          <w:p>
            <w:pPr>
              <w:pStyle w:val="Compact"/>
              <w:jc w:val="left"/>
            </w:pPr>
            <w:r>
              <w:t xml:space="preserve">Billable Hours by Certified Professionals</w:t>
            </w:r>
          </w:p>
        </w:tc>
        <w:tc>
          <w:tcPr/>
          <w:p>
            <w:pPr>
              <w:pStyle w:val="Compact"/>
              <w:jc w:val="left"/>
            </w:pPr>
            <w:r>
              <w:t xml:space="preserve">92%</w:t>
            </w:r>
          </w:p>
        </w:tc>
        <w:tc>
          <w:tcPr/>
          <w:p>
            <w:pPr>
              <w:pStyle w:val="Compact"/>
              <w:jc w:val="left"/>
            </w:pPr>
            <w:r>
              <w:t xml:space="preserve">+12% pts</w:t>
            </w:r>
          </w:p>
        </w:tc>
      </w:tr>
    </w:tbl>
    <w:p>
      <w:pPr>
        <w:pStyle w:val="BodyText"/>
      </w:pPr>
      <w:r>
        <w:rPr>
          <w:bCs/>
          <w:b/>
        </w:rPr>
        <w:t xml:space="preserve">Note:</w:t>
      </w:r>
      <w:r>
        <w:t xml:space="preserve"> </w:t>
      </w:r>
      <w:r>
        <w:t xml:space="preserve">All figures represent performance within the United Kingdom London operational territory, including all 33 boroughs and the City of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Translator Interpreter Sales Report - United Kingdom</dc:title>
  <dc:creator/>
  <dc:language>en</dc:language>
  <cp:keywords/>
  <dcterms:created xsi:type="dcterms:W3CDTF">2026-07-23T22:17:54Z</dcterms:created>
  <dcterms:modified xsi:type="dcterms:W3CDTF">2026-07-23T22:17:54Z</dcterms:modified>
</cp:coreProperties>
</file>

<file path=docProps/custom.xml><?xml version="1.0" encoding="utf-8"?>
<Properties xmlns="http://schemas.openxmlformats.org/officeDocument/2006/custom-properties" xmlns:vt="http://schemas.openxmlformats.org/officeDocument/2006/docPropsVTypes"/>
</file>