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6" w:name="X5e81aa8744b4dd7b4b702e6176956f63b9dd5d4"/>
    <w:p>
      <w:pPr>
        <w:pStyle w:val="Heading1"/>
      </w:pPr>
      <w:r>
        <w:t xml:space="preserve">SALES REPORT: TRANSLATOR INTERPRETER SERVICES IN TASHKENT, UZBEKISTAN</w:t>
      </w:r>
    </w:p>
    <w:p>
      <w:pPr>
        <w:pStyle w:val="FirstParagraph"/>
      </w:pPr>
      <w:r>
        <w:t xml:space="preserve">Prepared for International Business Partners and Stakeholders |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professional</w:t>
      </w:r>
      <w:r>
        <w:t xml:space="preserve"> </w:t>
      </w:r>
      <w:r>
        <w:rPr>
          <w:bCs/>
          <w:b/>
        </w:rPr>
        <w:t xml:space="preserve">Translator Interpreter</w:t>
      </w:r>
      <w:r>
        <w:t xml:space="preserve"> </w:t>
      </w:r>
      <w:r>
        <w:t xml:space="preserve">services across Tashkent, Uzbekistan. As the economic and diplomatic hub of Central Asia, Tashkent represents a critical growth frontier for language service providers. The report confirms a 37% year-over-year increase in demand for certified</w:t>
      </w:r>
      <w:r>
        <w:t xml:space="preserve"> </w:t>
      </w:r>
      <w:r>
        <w:rPr>
          <w:bCs/>
          <w:b/>
        </w:rPr>
        <w:t xml:space="preserve">Translator Interpreter</w:t>
      </w:r>
      <w:r>
        <w:t xml:space="preserve"> </w:t>
      </w:r>
      <w:r>
        <w:t xml:space="preserve">solutions since our expansion into Uzbekistan's capital city in 2021. This surge directly aligns with Uzbekistan's national strategy to enhance global trade connectivity, particularly through initiatives like the "Uzbekistan 2030" development program.</w:t>
      </w:r>
    </w:p>
    <w:bookmarkEnd w:id="20"/>
    <w:bookmarkStart w:id="21" w:name="Xfe13121346ddf0080846d7961bb70c7b229f59b"/>
    <w:p>
      <w:pPr>
        <w:pStyle w:val="Heading2"/>
      </w:pPr>
      <w:r>
        <w:t xml:space="preserve">Market Analysis: Demand Drivers in Tashkent</w:t>
      </w:r>
    </w:p>
    <w:p>
      <w:pPr>
        <w:pStyle w:val="FirstParagraph"/>
      </w:pPr>
      <w:r>
        <w:t xml:space="preserve">Tashkent's business ecosystem is experiencing unprecedented transformation. As Uzbekistan accelerates its integration into global markets through new trade agreements with the EU, China, and GCC nations, language barriers have become the primary operational bottleneck. Our sales data from Q1-Q3 2023 reveals that:</w:t>
      </w:r>
    </w:p>
    <w:p>
      <w:pPr>
        <w:numPr>
          <w:ilvl w:val="0"/>
          <w:numId w:val="1001"/>
        </w:numPr>
        <w:pStyle w:val="Compact"/>
      </w:pPr>
      <w:r>
        <w:rPr>
          <w:bCs/>
          <w:b/>
        </w:rPr>
        <w:t xml:space="preserve">87% of corporate clients</w:t>
      </w:r>
      <w:r>
        <w:t xml:space="preserve"> </w:t>
      </w:r>
      <w:r>
        <w:t xml:space="preserve">in Tashkent require simultaneous interpretation for international negotiations (up from 68% in 2021)</w:t>
      </w:r>
    </w:p>
    <w:p>
      <w:pPr>
        <w:numPr>
          <w:ilvl w:val="0"/>
          <w:numId w:val="1001"/>
        </w:numPr>
        <w:pStyle w:val="Compact"/>
      </w:pPr>
      <w:r>
        <w:rPr>
          <w:bCs/>
          <w:b/>
        </w:rPr>
        <w:t xml:space="preserve">Customs and logistics firms</w:t>
      </w:r>
      <w:r>
        <w:t xml:space="preserve"> </w:t>
      </w:r>
      <w:r>
        <w:t xml:space="preserve">account for 34% of new</w:t>
      </w:r>
      <w:r>
        <w:t xml:space="preserve"> </w:t>
      </w:r>
      <w:r>
        <w:rPr>
          <w:iCs/>
          <w:i/>
        </w:rPr>
        <w:t xml:space="preserve">Translator Interpreter</w:t>
      </w:r>
      <w:r>
        <w:t xml:space="preserve"> </w:t>
      </w:r>
      <w:r>
        <w:t xml:space="preserve">contracts, reflecting Uzbekistan's export growth to key markets</w:t>
      </w:r>
    </w:p>
    <w:p>
      <w:pPr>
        <w:numPr>
          <w:ilvl w:val="0"/>
          <w:numId w:val="1001"/>
        </w:numPr>
        <w:pStyle w:val="Compact"/>
      </w:pPr>
      <w:r>
        <w:rPr>
          <w:bCs/>
          <w:b/>
        </w:rPr>
        <w:t xml:space="preserve">Diplomatic missions</w:t>
      </w:r>
      <w:r>
        <w:t xml:space="preserve"> </w:t>
      </w:r>
      <w:r>
        <w:t xml:space="preserve">in Tashkent (including 12 embassies) represent a steady 29% of our recurring revenue stream</w:t>
      </w:r>
    </w:p>
    <w:p>
      <w:pPr>
        <w:pStyle w:val="FirstParagraph"/>
      </w:pPr>
      <w:r>
        <w:t xml:space="preserve">The government's recent "Language Law" amendments mandating English proficiency for all public sector contracts has further accelerated demand. Our localized marketing strategy targeting Tashkent-based manufacturing, energy, and IT firms has proven particularly effective in capturing this emerging market segment.</w:t>
      </w:r>
    </w:p>
    <w:bookmarkEnd w:id="21"/>
    <w:bookmarkStart w:id="22" w:name="X2f6a36b41be871288e6ecdb4e61cd4329042621"/>
    <w:p>
      <w:pPr>
        <w:pStyle w:val="Heading2"/>
      </w:pPr>
      <w:r>
        <w:t xml:space="preserve">Sales Performance Breakdown (Tashkent Market)</w:t>
      </w:r>
    </w:p>
    <w:p>
      <w:pPr>
        <w:pStyle w:val="FirstParagraph"/>
      </w:pPr>
      <w:r>
        <w:t xml:space="preserve">Service Type</w:t>
      </w:r>
    </w:p>
    <w:p>
      <w:pPr>
        <w:pStyle w:val="BodyText"/>
      </w:pPr>
      <w:r>
        <w:t xml:space="preserve">Q3 2023 Revenue (USD)</w:t>
      </w:r>
    </w:p>
    <w:p>
      <w:pPr>
        <w:pStyle w:val="BodyText"/>
      </w:pPr>
      <w:r>
        <w:t xml:space="preserve">YoY Growth</w:t>
      </w:r>
    </w:p>
    <w:p>
      <w:pPr>
        <w:pStyle w:val="BodyText"/>
      </w:pPr>
      <w:r>
        <w:t xml:space="preserve">Key Clients in Tashkent</w:t>
      </w:r>
    </w:p>
    <w:p>
      <w:pPr>
        <w:pStyle w:val="BodyText"/>
      </w:pPr>
      <w:r>
        <w:t xml:space="preserve">Business Interpretation (Simultaneous)</w:t>
      </w:r>
    </w:p>
    <w:p>
      <w:pPr>
        <w:pStyle w:val="BodyText"/>
      </w:pPr>
      <w:r>
        <w:t xml:space="preserve">$124,500</w:t>
      </w:r>
    </w:p>
    <w:p>
      <w:pPr>
        <w:pStyle w:val="BodyText"/>
      </w:pPr>
      <w:r>
        <w:t xml:space="preserve">+42%</w:t>
      </w:r>
    </w:p>
    <w:p>
      <w:pPr>
        <w:pStyle w:val="BodyText"/>
      </w:pPr>
      <w:r>
        <w:t xml:space="preserve">China-Uzbekistan Economic Zone, Tashkent International Airport Authority</w:t>
      </w:r>
    </w:p>
    <w:p>
      <w:pPr>
        <w:pStyle w:val="BodyText"/>
      </w:pPr>
      <w:r>
        <w:t xml:space="preserve">Document Translation (Legal/Technical)</w:t>
      </w:r>
    </w:p>
    <w:p>
      <w:pPr>
        <w:pStyle w:val="BodyText"/>
      </w:pPr>
      <w:r>
        <w:t xml:space="preserve">$89,750</w:t>
      </w:r>
    </w:p>
    <w:p>
      <w:pPr>
        <w:pStyle w:val="BodyText"/>
      </w:pPr>
      <w:r>
        <w:t xml:space="preserve">+31%</w:t>
      </w:r>
    </w:p>
    <w:p>
      <w:pPr>
        <w:pStyle w:val="BodyText"/>
      </w:pPr>
      <w:r>
        <w:t xml:space="preserve">Uzbek Energy Ministry, Tashkent Pharmaceutical Company</w:t>
      </w:r>
    </w:p>
    <w:p>
      <w:pPr>
        <w:pStyle w:val="BodyText"/>
      </w:pPr>
      <w:r>
        <w:t xml:space="preserve">Diplomatic Services</w:t>
      </w:r>
    </w:p>
    <w:p>
      <w:pPr>
        <w:pStyle w:val="BodyText"/>
      </w:pPr>
      <w:r>
        <w:t xml:space="preserve">$62,300</w:t>
      </w:r>
    </w:p>
    <w:p>
      <w:pPr>
        <w:pStyle w:val="BodyText"/>
      </w:pPr>
      <w:r>
        <w:t xml:space="preserve">+28%</w:t>
      </w:r>
    </w:p>
    <w:p>
      <w:pPr>
        <w:pStyle w:val="BodyText"/>
      </w:pPr>
      <w:r>
        <w:t xml:space="preserve">The Tashkent office has achieved remarkable results with 89% client retention rate, significantly exceeding the regional average of 74%. This success stems from our investment in culturally attuned</w:t>
      </w:r>
      <w:r>
        <w:t xml:space="preserve"> </w:t>
      </w:r>
      <w:r>
        <w:rPr>
          <w:bCs/>
          <w:b/>
        </w:rPr>
        <w:t xml:space="preserve">Translator Interpreter</w:t>
      </w:r>
      <w:r>
        <w:t xml:space="preserve"> </w:t>
      </w:r>
      <w:r>
        <w:t xml:space="preserve">staff—over 60% hold advanced degrees in linguistics or international relations from Tashkent State University and are fluent in Uzbek, Russian, English, and Chinese.</w:t>
      </w:r>
    </w:p>
    <w:bookmarkEnd w:id="22"/>
    <w:bookmarkStart w:id="23" w:name="strategic-challenges-solutions"/>
    <w:p>
      <w:pPr>
        <w:pStyle w:val="Heading2"/>
      </w:pPr>
      <w:r>
        <w:t xml:space="preserve">Strategic Challenges &amp; Solutions</w:t>
      </w:r>
    </w:p>
    <w:p>
      <w:pPr>
        <w:pStyle w:val="FirstParagraph"/>
      </w:pPr>
      <w:r>
        <w:t xml:space="preserve">Despite strong growth, we identified three critical challenges specific to the Uzbekistan Tashkent market:</w:t>
      </w:r>
    </w:p>
    <w:p>
      <w:pPr>
        <w:numPr>
          <w:ilvl w:val="0"/>
          <w:numId w:val="1002"/>
        </w:numPr>
        <w:pStyle w:val="Compact"/>
      </w:pPr>
      <w:r>
        <w:rPr>
          <w:bCs/>
          <w:b/>
        </w:rPr>
        <w:t xml:space="preserve">Cultural Nuance Gaps:</w:t>
      </w:r>
      <w:r>
        <w:t xml:space="preserve"> </w:t>
      </w:r>
      <w:r>
        <w:t xml:space="preserve">Initial misunderstandings occurred when interpreters lacked contextual knowledge of Uzbek business etiquette. *Solution:* Implemented mandatory "Cultural Immersion Training" for all Tashkent-based staff, including local mentorship from Uzbek government advisors.</w:t>
      </w:r>
    </w:p>
    <w:p>
      <w:pPr>
        <w:numPr>
          <w:ilvl w:val="0"/>
          <w:numId w:val="1002"/>
        </w:numPr>
        <w:pStyle w:val="Compact"/>
      </w:pPr>
      <w:r>
        <w:rPr>
          <w:bCs/>
          <w:b/>
        </w:rPr>
        <w:t xml:space="preserve">Digital Integration:</w:t>
      </w:r>
      <w:r>
        <w:t xml:space="preserve"> </w:t>
      </w:r>
      <w:r>
        <w:t xml:space="preserve">Clients requested seamless virtual interpretation solutions during the pandemic. *Solution:* Launched our localized Tashkent platform "TashkentLink" with 4G/5G compatibility, reducing setup time by 70%.</w:t>
      </w:r>
    </w:p>
    <w:p>
      <w:pPr>
        <w:numPr>
          <w:ilvl w:val="0"/>
          <w:numId w:val="1002"/>
        </w:numPr>
        <w:pStyle w:val="Compact"/>
      </w:pPr>
      <w:r>
        <w:rPr>
          <w:bCs/>
          <w:b/>
        </w:rPr>
        <w:t xml:space="preserve">Compliance Requirements:</w:t>
      </w:r>
      <w:r>
        <w:t xml:space="preserve"> </w:t>
      </w:r>
      <w:r>
        <w:t xml:space="preserve">New Uzbek customs regulations necessitated certified translations for import documents. *Solution:* Partnered with the Ministry of Justice to become an approved translation service provider in Tashkent.</w:t>
      </w:r>
    </w:p>
    <w:bookmarkEnd w:id="23"/>
    <w:bookmarkStart w:id="24" w:name="Xfb84099917d348cfcb4d86a868f2521291d7af2"/>
    <w:p>
      <w:pPr>
        <w:pStyle w:val="Heading2"/>
      </w:pPr>
      <w:r>
        <w:t xml:space="preserve">Future Outlook: Strategic Expansion in Uzbekistan Tashkent</w:t>
      </w:r>
    </w:p>
    <w:p>
      <w:pPr>
        <w:pStyle w:val="FirstParagraph"/>
      </w:pPr>
      <w:r>
        <w:t xml:space="preserve">Uzbekistan's projected 6.5% GDP growth for 2024 (World Bank) creates massive opportunity for language services. Our strategic roadmap focuses on three pillars:</w:t>
      </w:r>
    </w:p>
    <w:p>
      <w:pPr>
        <w:numPr>
          <w:ilvl w:val="0"/>
          <w:numId w:val="1003"/>
        </w:numPr>
        <w:pStyle w:val="Compact"/>
      </w:pPr>
      <w:r>
        <w:rPr>
          <w:bCs/>
          <w:b/>
        </w:rPr>
        <w:t xml:space="preserve">Niche Specialization:</w:t>
      </w:r>
      <w:r>
        <w:t xml:space="preserve"> </w:t>
      </w:r>
      <w:r>
        <w:t xml:space="preserve">Developing industry-specific</w:t>
      </w:r>
      <w:r>
        <w:t xml:space="preserve"> </w:t>
      </w:r>
      <w:r>
        <w:rPr>
          <w:iCs/>
          <w:i/>
        </w:rPr>
        <w:t xml:space="preserve">Translator Interpreter</w:t>
      </w:r>
      <w:r>
        <w:t xml:space="preserve"> </w:t>
      </w:r>
      <w:r>
        <w:t xml:space="preserve">teams for Uzbekistan's priority sectors (green energy, fintech, and textile manufacturing)</w:t>
      </w:r>
    </w:p>
    <w:p>
      <w:pPr>
        <w:numPr>
          <w:ilvl w:val="0"/>
          <w:numId w:val="1003"/>
        </w:numPr>
        <w:pStyle w:val="Compact"/>
      </w:pPr>
      <w:r>
        <w:rPr>
          <w:bCs/>
          <w:b/>
        </w:rPr>
        <w:t xml:space="preserve">Tashkent Innovation Hub:</w:t>
      </w:r>
      <w:r>
        <w:t xml:space="preserve"> </w:t>
      </w:r>
      <w:r>
        <w:t xml:space="preserve">Establishing a dedicated training academy in Tashkent to produce certified local talent—addressing the national shortage of 12,000+ linguists identified by Uzbekistan's State Employment Agency</w:t>
      </w:r>
    </w:p>
    <w:p>
      <w:pPr>
        <w:numPr>
          <w:ilvl w:val="0"/>
          <w:numId w:val="1003"/>
        </w:numPr>
        <w:pStyle w:val="Compact"/>
      </w:pPr>
      <w:r>
        <w:rPr>
          <w:bCs/>
          <w:b/>
        </w:rPr>
        <w:t xml:space="preserve">Digital Transformation:</w:t>
      </w:r>
      <w:r>
        <w:t xml:space="preserve"> </w:t>
      </w:r>
      <w:r>
        <w:t xml:space="preserve">Integrating AI-assisted translation tools while maintaining human oversight, targeting a 25% efficiency gain for routine document translations in Tashkent operations</w:t>
      </w:r>
    </w:p>
    <w:p>
      <w:pPr>
        <w:pStyle w:val="FirstParagraph"/>
      </w:pPr>
      <w:r>
        <w:t xml:space="preserve">The government's "Digital Uzbekistan" initiative directly supports this expansion. By Q1 2025, we project our Tashkent office will capture 38% of the professional</w:t>
      </w:r>
      <w:r>
        <w:t xml:space="preserve"> </w:t>
      </w:r>
      <w:r>
        <w:rPr>
          <w:bCs/>
          <w:b/>
        </w:rPr>
        <w:t xml:space="preserve">Translator Interpreter</w:t>
      </w:r>
      <w:r>
        <w:t xml:space="preserve"> </w:t>
      </w:r>
      <w:r>
        <w:t xml:space="preserve">market share in Uzbekistan—a 14-point increase from current levels.</w:t>
      </w:r>
    </w:p>
    <w:bookmarkEnd w:id="24"/>
    <w:bookmarkStart w:id="25" w:name="X479dd2634cad66f743083e4652dfc2ed79087c1"/>
    <w:p>
      <w:pPr>
        <w:pStyle w:val="Heading2"/>
      </w:pPr>
      <w:r>
        <w:t xml:space="preserve">Conclusion: The Unmistakable Value Proposition</w:t>
      </w:r>
    </w:p>
    <w:p>
      <w:pPr>
        <w:pStyle w:val="FirstParagraph"/>
      </w:pPr>
      <w:r>
        <w:t xml:space="preserve">This Sales Report underscores that Tashkent is not merely another market—it is the epicenter of Uzbekistan's language service revolution. As Uzbekistan accelerates its global economic engagement through partnerships like the Belt and Road Initiative and Eurasian Economic Union, demand for precision</w:t>
      </w:r>
      <w:r>
        <w:t xml:space="preserve"> </w:t>
      </w:r>
      <w:r>
        <w:rPr>
          <w:bCs/>
          <w:b/>
        </w:rPr>
        <w:t xml:space="preserve">Translator Interpreter</w:t>
      </w:r>
      <w:r>
        <w:t xml:space="preserve"> </w:t>
      </w:r>
      <w:r>
        <w:t xml:space="preserve">services will only intensify. Our strategic investment in Tashkent has already yielded exceptional returns, with client satisfaction scores averaging 4.8/5.0—a 0.7-point increase from 2021.</w:t>
      </w:r>
    </w:p>
    <w:p>
      <w:pPr>
        <w:pStyle w:val="BodyText"/>
      </w:pPr>
      <w:r>
        <w:t xml:space="preserve">We strongly recommend doubling down on the Uzbekistan Tashkent market through targeted hiring of bilingual talent and deeper government partnerships. The data is unequivocal: In Tashkent, language is no longer a barrier—it's the key to unlocking Uzbekistan's next decade of prosperity. As one client from the Tashkent Chamber of Commerce recently noted, "Your</w:t>
      </w:r>
      <w:r>
        <w:t xml:space="preserve"> </w:t>
      </w:r>
      <w:r>
        <w:rPr>
          <w:iCs/>
          <w:i/>
        </w:rPr>
        <w:t xml:space="preserve">Translator Interpreter</w:t>
      </w:r>
      <w:r>
        <w:t xml:space="preserve"> </w:t>
      </w:r>
      <w:r>
        <w:t xml:space="preserve">team didn't just facilitate communication—they enabled trust."</w:t>
      </w:r>
    </w:p>
    <w:p>
      <w:pPr>
        <w:pStyle w:val="BodyText"/>
      </w:pPr>
      <w:r>
        <w:t xml:space="preserve">Prepared by International Language Solutions | Tashkent Office</w:t>
      </w:r>
      <w:r>
        <w:br/>
      </w:r>
      <w:r>
        <w:t xml:space="preserve">September 15, 2023</w:t>
      </w:r>
    </w:p>
    <w:p>
      <w:pPr>
        <w:pStyle w:val="BodyText"/>
      </w:pPr>
      <w:r>
        <w:rPr>
          <w:bCs/>
          <w:b/>
        </w:rPr>
        <w:t xml:space="preserve">Key Performance Indicators (Tashkent Office):</w:t>
      </w:r>
    </w:p>
    <w:p>
      <w:pPr>
        <w:numPr>
          <w:ilvl w:val="0"/>
          <w:numId w:val="1004"/>
        </w:numPr>
        <w:pStyle w:val="Compact"/>
      </w:pPr>
      <w:r>
        <w:t xml:space="preserve">Total Clients in Uzbekistan Tashkent: 147 (Up 52% YoY)</w:t>
      </w:r>
    </w:p>
    <w:p>
      <w:pPr>
        <w:numPr>
          <w:ilvl w:val="0"/>
          <w:numId w:val="1004"/>
        </w:numPr>
        <w:pStyle w:val="Compact"/>
      </w:pPr>
      <w:r>
        <w:t xml:space="preserve">Revenue Contribution from Tashkent: $386,550 (47% of Uzbekistan total)</w:t>
      </w:r>
    </w:p>
    <w:p>
      <w:pPr>
        <w:numPr>
          <w:ilvl w:val="0"/>
          <w:numId w:val="1004"/>
        </w:numPr>
        <w:pStyle w:val="Compact"/>
      </w:pPr>
      <w:r>
        <w:t xml:space="preserve">Client Acquisition Cost: $2,980 (Below regional average of $3,410)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Tashkent, Uzbekistan</dc:title>
  <dc:creator/>
  <dc:language>en</dc:language>
  <cp:keywords/>
  <dcterms:created xsi:type="dcterms:W3CDTF">2026-07-23T11:52:17Z</dcterms:created>
  <dcterms:modified xsi:type="dcterms:W3CDTF">2026-07-23T11:52:17Z</dcterms:modified>
</cp:coreProperties>
</file>

<file path=docProps/custom.xml><?xml version="1.0" encoding="utf-8"?>
<Properties xmlns="http://schemas.openxmlformats.org/officeDocument/2006/custom-properties" xmlns:vt="http://schemas.openxmlformats.org/officeDocument/2006/docPropsVTypes"/>
</file>