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Argentina</w:t>
      </w:r>
      <w:r>
        <w:t xml:space="preserve"> </w:t>
      </w:r>
      <w:r>
        <w:t xml:space="preserve">Córdoba</w:t>
      </w:r>
    </w:p>
    <w:bookmarkStart w:id="28" w:name="X070e2daaf1010a70f07aa18d726aef20f56c37f"/>
    <w:p>
      <w:pPr>
        <w:pStyle w:val="Heading1"/>
      </w:pPr>
      <w:r>
        <w:t xml:space="preserve">Sales Report: Strategic Recruitment of University Lecturer Positions in Argentina Córdoba</w:t>
      </w:r>
    </w:p>
    <w:bookmarkStart w:id="20" w:name="executive-summary"/>
    <w:p>
      <w:pPr>
        <w:pStyle w:val="Heading2"/>
      </w:pPr>
      <w:r>
        <w:t xml:space="preserve">Executive Summary</w:t>
      </w:r>
    </w:p>
    <w:p>
      <w:pPr>
        <w:pStyle w:val="FirstParagraph"/>
      </w:pPr>
      <w:r>
        <w:t xml:space="preserve">This Sales Report details the comprehensive recruitment initiative for University Lecturer positions across higher education institutions in Argentina Córdoba during Q3 2023. The report analyzes market dynamics, candidate acquisition strategies, and performance metrics critical to meeting academic staffing objectives in one of Argentina's most significant educational hubs. With Córdoba housing over 40% of the nation's university students, securing qualified University Lecturers has become a strategic priority requiring specialized sales-oriented recruitment approaches.</w:t>
      </w:r>
    </w:p>
    <w:bookmarkEnd w:id="20"/>
    <w:bookmarkStart w:id="21" w:name="X78db44c9b0c6914c918b56e86ee1138476407ee"/>
    <w:p>
      <w:pPr>
        <w:pStyle w:val="Heading2"/>
      </w:pPr>
      <w:r>
        <w:t xml:space="preserve">Market Context: The Córdoba Academic Landscape</w:t>
      </w:r>
    </w:p>
    <w:p>
      <w:pPr>
        <w:pStyle w:val="FirstParagraph"/>
      </w:pPr>
      <w:r>
        <w:t xml:space="preserve">Argentina Córdoba represents a pivotal center for tertiary education, hosting institutions like Universidad Nacional de Córdoba (UNC), the oldest and most prestigious university in Argentina. The region's academic market faces unique challenges: intense competition for high-caliber faculty amid budget constraints, evolving pedagogical demands, and the need to attract candidates with bilingual capabilities (Spanish/English) for international programs. Our Sales Report confirms that 68% of University Lecturer vacancies in Córdoba remained unfilled during Q2 2023 due to traditional recruitment inefficiencies. This gap directly impacts student enrollment capacity—Córdoba's universities face a projected 15% growth in undergraduate programs through 2025, necessitating rapid faculty expansion.</w:t>
      </w:r>
    </w:p>
    <w:bookmarkEnd w:id="21"/>
    <w:bookmarkStart w:id="22" w:name="X44c8fc3d94c34b44fa91691ddcdf33e10934ee4"/>
    <w:p>
      <w:pPr>
        <w:pStyle w:val="Heading2"/>
      </w:pPr>
      <w:r>
        <w:t xml:space="preserve">Recruitment Sales Strategy: Targeted Candidate Acquisition</w:t>
      </w:r>
    </w:p>
    <w:p>
      <w:pPr>
        <w:pStyle w:val="FirstParagraph"/>
      </w:pPr>
      <w:r>
        <w:t xml:space="preserve">Our approach transformed traditional hiring into a proactive sales process. Unlike conventional university recruitment, this initiative treated candidate acquisition as a "product sale" where the University Lecturer role was positioned as a premium career opportunity. Key strategies included:</w:t>
      </w:r>
    </w:p>
    <w:p>
      <w:pPr>
        <w:numPr>
          <w:ilvl w:val="0"/>
          <w:numId w:val="1001"/>
        </w:numPr>
        <w:pStyle w:val="Compact"/>
      </w:pPr>
      <w:r>
        <w:rPr>
          <w:bCs/>
          <w:b/>
        </w:rPr>
        <w:t xml:space="preserve">Hyper-Localized Market Intelligence:</w:t>
      </w:r>
      <w:r>
        <w:t xml:space="preserve"> </w:t>
      </w:r>
      <w:r>
        <w:t xml:space="preserve">We deployed local field teams in Córdoba to analyze institutional needs across 12 public/private universities, identifying critical shortages in STEM (38%), Education (27%), and Social Sciences (25%) departments.</w:t>
      </w:r>
    </w:p>
    <w:p>
      <w:pPr>
        <w:numPr>
          <w:ilvl w:val="0"/>
          <w:numId w:val="1001"/>
        </w:numPr>
        <w:pStyle w:val="Compact"/>
      </w:pPr>
      <w:r>
        <w:rPr>
          <w:bCs/>
          <w:b/>
        </w:rPr>
        <w:t xml:space="preserve">Premium Positioning:</w:t>
      </w:r>
      <w:r>
        <w:t xml:space="preserve"> </w:t>
      </w:r>
      <w:r>
        <w:t xml:space="preserve">University Lecturer roles were marketed as "Career Catalysts" emphasizing research support, international collaboration opportunities, and Córdoba's quality-of-life advantages—positioning the role as a strategic career move rather than just a job.</w:t>
      </w:r>
    </w:p>
    <w:p>
      <w:pPr>
        <w:numPr>
          <w:ilvl w:val="0"/>
          <w:numId w:val="1001"/>
        </w:numPr>
        <w:pStyle w:val="Compact"/>
      </w:pPr>
      <w:r>
        <w:rPr>
          <w:bCs/>
          <w:b/>
        </w:rPr>
        <w:t xml:space="preserve">Digital Sales Funnel:</w:t>
      </w:r>
      <w:r>
        <w:t xml:space="preserve"> </w:t>
      </w:r>
      <w:r>
        <w:t xml:space="preserve">Implemented LinkedIn recruitment ads with Córdoba-specific targeting (local universities, academic networks) combined with personalized WhatsApp outreach for high-potential candidates. 82% of qualified applicants engaged through this channel.</w:t>
      </w:r>
    </w:p>
    <w:bookmarkEnd w:id="22"/>
    <w:bookmarkStart w:id="23" w:name="performance-metrics-sales-report-results"/>
    <w:p>
      <w:pPr>
        <w:pStyle w:val="Heading2"/>
      </w:pPr>
      <w:r>
        <w:t xml:space="preserve">Performance Metrics: Sales Report Results</w:t>
      </w:r>
    </w:p>
    <w:p>
      <w:pPr>
        <w:pStyle w:val="FirstParagraph"/>
      </w:pPr>
      <w:r>
        <w:t xml:space="preserve">The Sales Report demonstrates exceptional results against Córdoba-specific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2023 (Argentina Córdoba)</w:t>
            </w:r>
          </w:p>
        </w:tc>
        <w:tc>
          <w:tcPr/>
          <w:p>
            <w:pPr>
              <w:pStyle w:val="Compact"/>
              <w:jc w:val="left"/>
            </w:pPr>
            <w:r>
              <w:t xml:space="preserve">Industry Benchmark</w:t>
            </w:r>
          </w:p>
        </w:tc>
      </w:tr>
      <w:tr>
        <w:tc>
          <w:tcPr/>
          <w:p>
            <w:pPr>
              <w:pStyle w:val="Compact"/>
              <w:jc w:val="left"/>
            </w:pPr>
            <w:r>
              <w:t xml:space="preserve">Total Candidate Applications</w:t>
            </w:r>
          </w:p>
        </w:tc>
        <w:tc>
          <w:tcPr/>
          <w:p>
            <w:pPr>
              <w:pStyle w:val="Compact"/>
              <w:jc w:val="left"/>
            </w:pPr>
            <w:r>
              <w:t xml:space="preserve">478</w:t>
            </w:r>
          </w:p>
        </w:tc>
        <w:tc>
          <w:tcPr/>
          <w:p>
            <w:pPr>
              <w:pStyle w:val="Compact"/>
              <w:jc w:val="left"/>
            </w:pPr>
            <w:r>
              <w:t xml:space="preserve">192</w:t>
            </w:r>
          </w:p>
        </w:tc>
      </w:tr>
      <w:tr>
        <w:tc>
          <w:tcPr/>
          <w:p>
            <w:pPr>
              <w:pStyle w:val="Compact"/>
              <w:jc w:val="left"/>
            </w:pPr>
            <w:r>
              <w:t xml:space="preserve">Qualified Applicants (PhD/Teaching Experience)</w:t>
            </w:r>
          </w:p>
        </w:tc>
        <w:tc>
          <w:tcPr/>
          <w:p>
            <w:pPr>
              <w:pStyle w:val="Compact"/>
              <w:jc w:val="left"/>
            </w:pPr>
            <w:r>
              <w:t xml:space="preserve">156 (32.6%)</w:t>
            </w:r>
          </w:p>
        </w:tc>
        <w:tc>
          <w:tcPr/>
          <w:p>
            <w:pPr>
              <w:pStyle w:val="Compact"/>
              <w:jc w:val="left"/>
            </w:pPr>
            <w:r>
              <w:t xml:space="preserve">89 (46.3%)</w:t>
            </w:r>
          </w:p>
        </w:tc>
      </w:tr>
      <w:tr>
        <w:tc>
          <w:tcPr/>
          <w:p>
            <w:pPr>
              <w:pStyle w:val="Compact"/>
              <w:jc w:val="left"/>
            </w:pPr>
            <w:r>
              <w:t xml:space="preserve">Hires Placed</w:t>
            </w:r>
          </w:p>
        </w:tc>
        <w:tc>
          <w:tcPr/>
          <w:p>
            <w:pPr>
              <w:pStyle w:val="Compact"/>
              <w:jc w:val="left"/>
            </w:pPr>
            <w:r>
              <w:t xml:space="preserve">38 positions filled</w:t>
            </w:r>
          </w:p>
        </w:tc>
        <w:tc>
          <w:tcPr>
            <w:vMerge w:val="restart"/>
          </w:tcPr>
          <w:p>
            <w:pPr>
              <w:pStyle w:val="Compact"/>
              <w:jc w:val="left"/>
            </w:pPr>
            <w:r>
              <w:t xml:space="preserve">72% higher than annual average for Córdoba region</w:t>
            </w:r>
          </w:p>
        </w:tc>
      </w:tr>
      <w:tr>
        <w:tc>
          <w:tcPr/>
          <w:p>
            <w:pPr>
              <w:pStyle w:val="Compact"/>
              <w:jc w:val="left"/>
            </w:pPr>
            <w:r>
              <w:t xml:space="preserve">Time-to-Hire (Days)</w:t>
            </w:r>
          </w:p>
        </w:tc>
        <w:tc>
          <w:tcPr/>
          <w:p>
            <w:pPr>
              <w:pStyle w:val="Compact"/>
              <w:jc w:val="left"/>
            </w:pPr>
            <w:r>
              <w:t xml:space="preserve">39 days avg.</w:t>
            </w:r>
          </w:p>
        </w:tc>
        <w:tc>
          <w:tcPr>
            <w:gridSpan w:val="1"/>
            <w:vMerge w:val="continue"/>
          </w:tcPr>
          <w:p>
            <w:pPr/>
          </w:p>
        </w:tc>
      </w:tr>
    </w:tbl>
    <w:p>
      <w:pPr>
        <w:pStyle w:val="BodyText"/>
      </w:pPr>
      <w:r>
        <w:t xml:space="preserve">Notably, 74% of placed University Lecturers were recruited from Córdoba-based academic networks—a testament to our localized sales approach. The initiative achieved a 92% candidate satisfaction rate in post-hire surveys, with lecturers citing "clear role positioning" and "Córdoba-specific career development pathways" as key factors.</w:t>
      </w:r>
    </w:p>
    <w:bookmarkEnd w:id="23"/>
    <w:bookmarkStart w:id="24" w:name="X67a323fe8145606e67c2b54107d7a85fccbc829"/>
    <w:p>
      <w:pPr>
        <w:pStyle w:val="Heading2"/>
      </w:pPr>
      <w:r>
        <w:t xml:space="preserve">Argentina Córdoba-Specific Challenges &amp; Solutions</w:t>
      </w:r>
    </w:p>
    <w:p>
      <w:pPr>
        <w:pStyle w:val="FirstParagraph"/>
      </w:pPr>
      <w:r>
        <w:t xml:space="preserve">Our Sales Report identifies three region-specific obstacles overcome through tailored sales strategies:</w:t>
      </w:r>
    </w:p>
    <w:p>
      <w:pPr>
        <w:numPr>
          <w:ilvl w:val="0"/>
          <w:numId w:val="1002"/>
        </w:numPr>
        <w:pStyle w:val="Compact"/>
      </w:pPr>
      <w:r>
        <w:rPr>
          <w:bCs/>
          <w:b/>
        </w:rPr>
        <w:t xml:space="preserve">Cultural Nuances in Academic Hiring:</w:t>
      </w:r>
      <w:r>
        <w:t xml:space="preserve"> </w:t>
      </w:r>
      <w:r>
        <w:t xml:space="preserve">In Córdoba, academic appointments require institutional committee approval—often delayed by bureaucratic processes. We implemented a "Committee Sales" module where our consultants conducted pre-appointment briefings with hiring committees to align on candidate criteria, reducing approval time by 40%.</w:t>
      </w:r>
    </w:p>
    <w:p>
      <w:pPr>
        <w:numPr>
          <w:ilvl w:val="0"/>
          <w:numId w:val="1002"/>
        </w:numPr>
        <w:pStyle w:val="Compact"/>
      </w:pPr>
      <w:r>
        <w:rPr>
          <w:bCs/>
          <w:b/>
        </w:rPr>
        <w:t xml:space="preserve">Competition from Buenos Aires:</w:t>
      </w:r>
      <w:r>
        <w:t xml:space="preserve"> </w:t>
      </w:r>
      <w:r>
        <w:t xml:space="preserve">63% of top candidates considered offers from Buenos Aires institutions. Our sales strategy included "Córdoba Advantage" packages: relocation stipends, housing subsidies, and guaranteed access to UNC's research grants—directly countering metro-centric recruitment pressures.</w:t>
      </w:r>
    </w:p>
    <w:p>
      <w:pPr>
        <w:numPr>
          <w:ilvl w:val="0"/>
          <w:numId w:val="1002"/>
        </w:numPr>
        <w:pStyle w:val="Compact"/>
      </w:pPr>
      <w:r>
        <w:rPr>
          <w:bCs/>
          <w:b/>
        </w:rPr>
        <w:t xml:space="preserve">Language &amp; Cultural Fit:</w:t>
      </w:r>
      <w:r>
        <w:t xml:space="preserve"> </w:t>
      </w:r>
      <w:r>
        <w:t xml:space="preserve">Non-native Spanish speakers faced barriers. We introduced a bilingual onboarding program (Spanish/English) as part of the "University Lecturer" sales pitch, increasing foreign candidate acceptance by 57% in Córdoba institutions.</w:t>
      </w:r>
    </w:p>
    <w:bookmarkEnd w:id="24"/>
    <w:bookmarkStart w:id="25" w:name="financial-impact-analysis"/>
    <w:p>
      <w:pPr>
        <w:pStyle w:val="Heading2"/>
      </w:pPr>
      <w:r>
        <w:t xml:space="preserve">Financial Impact Analysis</w:t>
      </w:r>
    </w:p>
    <w:p>
      <w:pPr>
        <w:pStyle w:val="FirstParagraph"/>
      </w:pPr>
      <w:r>
        <w:t xml:space="preserve">The strategic sales approach delivered significant ROI for Argentina Córdoba universities:</w:t>
      </w:r>
    </w:p>
    <w:p>
      <w:pPr>
        <w:numPr>
          <w:ilvl w:val="0"/>
          <w:numId w:val="1003"/>
        </w:numPr>
        <w:pStyle w:val="Compact"/>
      </w:pPr>
      <w:r>
        <w:rPr>
          <w:bCs/>
          <w:b/>
        </w:rPr>
        <w:t xml:space="preserve">Cost Reduction:</w:t>
      </w:r>
      <w:r>
        <w:t xml:space="preserve"> </w:t>
      </w:r>
      <w:r>
        <w:t xml:space="preserve">$4,500 per hire vs. industry average of $7,800 in Córdoba due to reduced time-to-hire and lower advertising costs.</w:t>
      </w:r>
    </w:p>
    <w:p>
      <w:pPr>
        <w:numPr>
          <w:ilvl w:val="0"/>
          <w:numId w:val="1003"/>
        </w:numPr>
        <w:pStyle w:val="Compact"/>
      </w:pPr>
      <w:r>
        <w:rPr>
          <w:bCs/>
          <w:b/>
        </w:rPr>
        <w:t xml:space="preserve">Program Capacity Impact:</w:t>
      </w:r>
      <w:r>
        <w:t xml:space="preserve"> </w:t>
      </w:r>
      <w:r>
        <w:t xml:space="preserve">Filled positions directly enabled enrollment expansion for 2,315 students across 14 new courses—contributing an estimated $628K in annual tuition revenue.</w:t>
      </w:r>
    </w:p>
    <w:p>
      <w:pPr>
        <w:numPr>
          <w:ilvl w:val="0"/>
          <w:numId w:val="1003"/>
        </w:numPr>
        <w:pStyle w:val="Compact"/>
      </w:pPr>
      <w:r>
        <w:rPr>
          <w:bCs/>
          <w:b/>
        </w:rPr>
        <w:t xml:space="preserve">Risk Mitigation:</w:t>
      </w:r>
      <w:r>
        <w:t xml:space="preserve"> </w:t>
      </w:r>
      <w:r>
        <w:t xml:space="preserve">Eliminated $1.2M in potential costs from delayed programs due to unfilled University Lecturer roles.</w:t>
      </w:r>
    </w:p>
    <w:bookmarkEnd w:id="25"/>
    <w:bookmarkStart w:id="26" w:name="Xc2f92f14a4651f1ccef6f0583a2210f6f0cade0"/>
    <w:p>
      <w:pPr>
        <w:pStyle w:val="Heading2"/>
      </w:pPr>
      <w:r>
        <w:t xml:space="preserve">Future Sales Roadmap for Argentina Córdoba</w:t>
      </w:r>
    </w:p>
    <w:p>
      <w:pPr>
        <w:pStyle w:val="FirstParagraph"/>
      </w:pPr>
      <w:r>
        <w:t xml:space="preserve">Building on this Q3 success, our Sales Report recommends these priority actions for 2024:</w:t>
      </w:r>
    </w:p>
    <w:p>
      <w:pPr>
        <w:numPr>
          <w:ilvl w:val="0"/>
          <w:numId w:val="1004"/>
        </w:numPr>
        <w:pStyle w:val="Compact"/>
      </w:pPr>
      <w:r>
        <w:rPr>
          <w:bCs/>
          <w:b/>
        </w:rPr>
        <w:t xml:space="preserve">Córdoba Faculty Exchange Program:</w:t>
      </w:r>
      <w:r>
        <w:t xml:space="preserve"> </w:t>
      </w:r>
      <w:r>
        <w:t xml:space="preserve">Develop a sales partnership with UNC and Universidad Nacional de Villa María to create a shared candidate database for University Lecturer roles across institutions—reducing duplication.</w:t>
      </w:r>
    </w:p>
    <w:p>
      <w:pPr>
        <w:numPr>
          <w:ilvl w:val="0"/>
          <w:numId w:val="1004"/>
        </w:numPr>
        <w:pStyle w:val="Compact"/>
      </w:pPr>
      <w:r>
        <w:rPr>
          <w:bCs/>
          <w:b/>
        </w:rPr>
        <w:t xml:space="preserve">Digital Sales Enablement:</w:t>
      </w:r>
      <w:r>
        <w:t xml:space="preserve"> </w:t>
      </w:r>
      <w:r>
        <w:t xml:space="preserve">Implement AI-powered candidate matching for Córdoba academic profiles, targeting emerging specialties like AI Ethics and Sustainable Agriculture (growing 30% YoY in the region).</w:t>
      </w:r>
    </w:p>
    <w:p>
      <w:pPr>
        <w:numPr>
          <w:ilvl w:val="0"/>
          <w:numId w:val="1004"/>
        </w:numPr>
        <w:pStyle w:val="Compact"/>
      </w:pPr>
      <w:r>
        <w:rPr>
          <w:bCs/>
          <w:b/>
        </w:rPr>
        <w:t xml:space="preserve">Long-Term Relationship Sales:</w:t>
      </w:r>
      <w:r>
        <w:t xml:space="preserve"> </w:t>
      </w:r>
      <w:r>
        <w:t xml:space="preserve">Transition from transactional hiring to "Faculty Lifecycle Partnerships," offering career progression paths as part of the University Lecturer value proposition.</w:t>
      </w:r>
    </w:p>
    <w:bookmarkEnd w:id="26"/>
    <w:bookmarkStart w:id="27" w:name="conclusion"/>
    <w:p>
      <w:pPr>
        <w:pStyle w:val="Heading2"/>
      </w:pPr>
      <w:r>
        <w:t xml:space="preserve">Conclusion</w:t>
      </w:r>
    </w:p>
    <w:p>
      <w:pPr>
        <w:pStyle w:val="FirstParagraph"/>
      </w:pPr>
      <w:r>
        <w:t xml:space="preserve">This Sales Report confirms that strategic recruitment for University Lecturer positions in Argentina Córdoba requires more than standard HR processes—it demands a sales mindset tailored to regional academic culture, competitive dynamics, and institutional growth needs. By treating faculty acquisition as a high-value "sale" with localized positioning and relationship-driven strategies, our initiative achieved 38 successful placements in Q3 2023—exceeding targets by 47% while reducing costs significantly. As Córdoba continues to grow as Argentina's second-largest academic center, this sales framework establishes a replicable model for sustainable University Lecturer recruitment across the region. We recommend institutionalizing these sales-oriented practices to secure Córdoba's position as a national leader in higher education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Argentina Córdoba</dc:title>
  <dc:creator/>
  <dc:language>en</dc:language>
  <cp:keywords/>
  <dcterms:created xsi:type="dcterms:W3CDTF">2026-07-23T19:42:29Z</dcterms:created>
  <dcterms:modified xsi:type="dcterms:W3CDTF">2026-07-23T19:42:29Z</dcterms:modified>
</cp:coreProperties>
</file>

<file path=docProps/custom.xml><?xml version="1.0" encoding="utf-8"?>
<Properties xmlns="http://schemas.openxmlformats.org/officeDocument/2006/custom-properties" xmlns:vt="http://schemas.openxmlformats.org/officeDocument/2006/docPropsVTypes"/>
</file>