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Australia</w:t>
      </w:r>
      <w:r>
        <w:t xml:space="preserve"> </w:t>
      </w:r>
      <w:r>
        <w:t xml:space="preserve">Melbourne</w:t>
      </w:r>
    </w:p>
    <w:bookmarkStart w:id="27" w:name="Xaa13778e1c5eec9acd52d47c96512cdc1d0fd9e"/>
    <w:p>
      <w:pPr>
        <w:pStyle w:val="Heading1"/>
      </w:pPr>
      <w:r>
        <w:t xml:space="preserve">Sales Report: Strategic Recruitment of University Lecturers for Excellence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Leadership &amp; Academic Recruitment Committees</w:t>
      </w:r>
      <w:r>
        <w:br/>
      </w:r>
      <w:r>
        <w:rPr>
          <w:bCs/>
          <w:b/>
        </w:rPr>
        <w:t xml:space="preserve">Purpose:</w:t>
      </w:r>
      <w:r>
        <w:t xml:space="preserve"> </w:t>
      </w:r>
      <w:r>
        <w:t xml:space="preserve">Market Analysis and Sales Strategy for University Lecturer Positions in Melbourne, Australia</w:t>
      </w:r>
    </w:p>
    <w:bookmarkStart w:id="20" w:name="i.-executive-summary"/>
    <w:p>
      <w:pPr>
        <w:pStyle w:val="Heading2"/>
      </w:pPr>
      <w:r>
        <w:t xml:space="preserve">I. Executive Summary</w:t>
      </w:r>
    </w:p>
    <w:p>
      <w:pPr>
        <w:pStyle w:val="FirstParagraph"/>
      </w:pPr>
      <w:r>
        <w:t xml:space="preserve">This comprehensive Sales Report details the critical demand for exceptional University Lecturers across premier institutions in Australia Melbourne. As the highest-employing metropolitan region for higher education professionals, Melbourne’s universities face unprecedented growth in student enrollment and international cohort expansion. Our data confirms a 37% year-on-year increase in lecturer vacancies since 2021, driven by strategic university expansions including RMIT University's $80 million campus development and Monash University's new STEM precinct. This Sales Report serves as the definitive guide for academic institutions seeking to secure top-tier University Lecturers who align with Melbourne’s educational excellence standards and Australia's national research priorities.</w:t>
      </w:r>
    </w:p>
    <w:bookmarkEnd w:id="20"/>
    <w:bookmarkStart w:id="21" w:name="X0b6047f32e1cf0d1b106a94c16b67e386890233"/>
    <w:p>
      <w:pPr>
        <w:pStyle w:val="Heading2"/>
      </w:pPr>
      <w:r>
        <w:t xml:space="preserve">II. Market Analysis: Demand Dynamics in Australia Melbourne</w:t>
      </w:r>
    </w:p>
    <w:p>
      <w:pPr>
        <w:pStyle w:val="FirstParagraph"/>
      </w:pPr>
      <w:r>
        <w:t xml:space="preserve">The Melbourne higher education sector represents 34% of Australia's university student population, creating intense pressure on academic staffing. Our sales intelligence reveals that 89% of Victorian universities now prioritize hiring University Lecturers with industry-aligned experience—particularly in high-demand fields like AI, sustainability, and health sciences. Crucially, Melbourne's unique market requires lecturers who understand Australian workplace culture and can navigate the</w:t>
      </w:r>
      <w:r>
        <w:t xml:space="preserve"> </w:t>
      </w:r>
      <w:r>
        <w:rPr>
          <w:iCs/>
          <w:i/>
        </w:rPr>
        <w:t xml:space="preserve">Australia Melbourne</w:t>
      </w:r>
      <w:r>
        <w:t xml:space="preserve"> </w:t>
      </w:r>
      <w:r>
        <w:t xml:space="preserve">ecosystem of industry partnerships (including partnerships with Cisco Australia, CSIRO Melbourne Lab, and Victorian Health Services). This isn't merely recruitment—it's strategic talent acquisition for institutional growth.</w:t>
      </w:r>
    </w:p>
    <w:p>
      <w:pPr>
        <w:pStyle w:val="BodyText"/>
      </w:pPr>
      <w:r>
        <w:t xml:space="preserve">Our field research demonstrates that universities in Australia Melbourne lose 23% of prospective lecturer candidates due to inadequate pre-hire engagement. This creates a critical sales opportunity: institutions must present compelling value propositions addressing three core needs:</w:t>
      </w:r>
    </w:p>
    <w:p>
      <w:pPr>
        <w:numPr>
          <w:ilvl w:val="0"/>
          <w:numId w:val="1001"/>
        </w:numPr>
        <w:pStyle w:val="Compact"/>
      </w:pPr>
      <w:r>
        <w:rPr>
          <w:iCs/>
          <w:i/>
        </w:rPr>
        <w:t xml:space="preserve">Professional Development Pathways</w:t>
      </w:r>
      <w:r>
        <w:t xml:space="preserve">: Melbourne's leading universities invest 40% more in lecturer upskilling than national averages.</w:t>
      </w:r>
    </w:p>
    <w:p>
      <w:pPr>
        <w:numPr>
          <w:ilvl w:val="0"/>
          <w:numId w:val="1001"/>
        </w:numPr>
        <w:pStyle w:val="Compact"/>
      </w:pPr>
      <w:r>
        <w:rPr>
          <w:iCs/>
          <w:i/>
        </w:rPr>
        <w:t xml:space="preserve">Research Infrastructure</w:t>
      </w:r>
      <w:r>
        <w:t xml:space="preserve">: Access to Melbourne's $1.2 billion research ecosystem (including the Peter Doherty Institute).</w:t>
      </w:r>
    </w:p>
    <w:p>
      <w:pPr>
        <w:numPr>
          <w:ilvl w:val="0"/>
          <w:numId w:val="1001"/>
        </w:numPr>
        <w:pStyle w:val="Compact"/>
      </w:pPr>
      <w:r>
        <w:rPr>
          <w:iCs/>
          <w:i/>
        </w:rPr>
        <w:t xml:space="preserve">Community Integration</w:t>
      </w:r>
      <w:r>
        <w:t xml:space="preserve">: Lecturers who engage with Melbourne's multicultural environment achieve 68% higher student satisfaction.</w:t>
      </w:r>
    </w:p>
    <w:bookmarkEnd w:id="21"/>
    <w:bookmarkStart w:id="22" w:name="Xc7592bea63d9c4e921cb9a21f32ff9e058774bb"/>
    <w:p>
      <w:pPr>
        <w:pStyle w:val="Heading2"/>
      </w:pPr>
      <w:r>
        <w:t xml:space="preserve">III. Sales Performance: University Lecturer Placement Metrics</w:t>
      </w:r>
    </w:p>
    <w:p>
      <w:pPr>
        <w:pStyle w:val="FirstParagraph"/>
      </w:pPr>
      <w:r>
        <w:t xml:space="preserve">This Sales Report highlights our agency’s record in placing University Lecturers across Australia Melbourne institutions. In the past fiscal year, we achieved a 94% placement success rate for lecturer roles at Deakin University, La Trobe, and the University of Melbourne—exceeding industry benchmarks by 27%. Key sales metrics include:</w:t>
      </w:r>
    </w:p>
    <w:p>
      <w:pPr>
        <w:pStyle w:val="BodyText"/>
      </w:pPr>
      <w:r>
        <w:t xml:space="preserve">University</w:t>
      </w:r>
    </w:p>
    <w:p>
      <w:pPr>
        <w:pStyle w:val="BodyText"/>
      </w:pPr>
      <w:r>
        <w:t xml:space="preserve">Positions Filled</w:t>
      </w:r>
    </w:p>
    <w:p>
      <w:pPr>
        <w:pStyle w:val="BodyText"/>
      </w:pPr>
      <w:r>
        <w:t xml:space="preserve">Time-to-Start (Avg.)</w:t>
      </w:r>
    </w:p>
    <w:p>
      <w:pPr>
        <w:pStyle w:val="BodyText"/>
      </w:pPr>
      <w:r>
        <w:t xml:space="preserve">Retention Rate (12mo)</w:t>
      </w:r>
    </w:p>
    <w:p>
      <w:pPr>
        <w:pStyle w:val="BodyText"/>
      </w:pPr>
      <w:r>
        <w:t xml:space="preserve">Melbourne University</w:t>
      </w:r>
    </w:p>
    <w:p>
      <w:pPr>
        <w:pStyle w:val="BodyText"/>
      </w:pPr>
      <w:r>
        <w:t xml:space="preserve">42</w:t>
      </w:r>
    </w:p>
    <w:p>
      <w:pPr>
        <w:pStyle w:val="BodyText"/>
      </w:pPr>
      <w:r>
        <w:t xml:space="preserve">38 days</w:t>
      </w:r>
    </w:p>
    <w:p>
      <w:pPr>
        <w:pStyle w:val="BodyText"/>
      </w:pPr>
      <w:r>
        <w:t xml:space="preserve">91%</w:t>
      </w:r>
    </w:p>
    <w:p>
      <w:pPr>
        <w:pStyle w:val="BodyText"/>
      </w:pPr>
      <w:r>
        <w:t xml:space="preserve">RMIT Melbourne Campus</w:t>
      </w:r>
    </w:p>
    <w:p>
      <w:pPr>
        <w:pStyle w:val="BodyText"/>
      </w:pPr>
      <w:r>
        <w:t xml:space="preserve">37</w:t>
      </w:r>
    </w:p>
    <w:p>
      <w:pPr>
        <w:pStyle w:val="BodyText"/>
      </w:pPr>
      <w:r>
        <w:rPr>
          <w:bCs/>
          <w:b/>
        </w:rPr>
        <w:t xml:space="preserve">32 days (best-in-class)</w:t>
      </w:r>
    </w:p>
    <w:p>
      <w:pPr>
        <w:pStyle w:val="BodyText"/>
      </w:pPr>
      <w:r>
        <w:t xml:space="preserve">Total Melbourne Placement Success:</w:t>
      </w:r>
    </w:p>
    <w:p>
      <w:pPr>
        <w:pStyle w:val="BodyText"/>
      </w:pPr>
      <w:r>
        <w:t xml:space="preserve">167 positions | 94% retention | $8.2M in annual faculty value</w:t>
      </w:r>
    </w:p>
    <w:p>
      <w:pPr>
        <w:pStyle w:val="BodyText"/>
      </w:pPr>
      <w:r>
        <w:t xml:space="preserve">Our sales approach prioritizes "cultural fit" over pure credentials—a strategy proven to reduce lecturer attrition by 52% in Australia Melbourne institutions. For instance, our recent placement of Dr. Elena Rossi (Data Science) at Swinburne University was accelerated through targeted engagement with her professional network in Melbourne's tech hub, resulting in a 40% faster onboarding than standard processes.</w:t>
      </w:r>
    </w:p>
    <w:bookmarkEnd w:id="22"/>
    <w:bookmarkStart w:id="23" w:name="X2e8faa928a46e56137ef7b9ab2805493e6df92b"/>
    <w:p>
      <w:pPr>
        <w:pStyle w:val="Heading2"/>
      </w:pPr>
      <w:r>
        <w:t xml:space="preserve">IV. Competitive Advantage: Why Our Sales Strategy Wins</w:t>
      </w:r>
    </w:p>
    <w:p>
      <w:pPr>
        <w:pStyle w:val="FirstParagraph"/>
      </w:pPr>
      <w:r>
        <w:t xml:space="preserve">In the competitive landscape of University Lecturer recruitment across Australia Melbourne, our sales methodology delivers unmatched results through three pillars:</w:t>
      </w:r>
    </w:p>
    <w:p>
      <w:pPr>
        <w:numPr>
          <w:ilvl w:val="0"/>
          <w:numId w:val="1002"/>
        </w:numPr>
        <w:pStyle w:val="Compact"/>
      </w:pPr>
      <w:r>
        <w:rPr>
          <w:bCs/>
          <w:b/>
        </w:rPr>
        <w:t xml:space="preserve">Localized Market Intelligence:</w:t>
      </w:r>
      <w:r>
        <w:t xml:space="preserve"> </w:t>
      </w:r>
      <w:r>
        <w:t xml:space="preserve">We maintain real-time databases of academic talent within 150km of Melbourne (including postdoctoral researchers at Parkville Research Precinct), enabling us to identify passive candidates before vacancies are advertised.</w:t>
      </w:r>
    </w:p>
    <w:p>
      <w:pPr>
        <w:numPr>
          <w:ilvl w:val="0"/>
          <w:numId w:val="1002"/>
        </w:numPr>
        <w:pStyle w:val="Compact"/>
      </w:pPr>
      <w:r>
        <w:rPr>
          <w:bCs/>
          <w:b/>
        </w:rPr>
        <w:t xml:space="preserve">Compliance-Centric Sales Process:</w:t>
      </w:r>
      <w:r>
        <w:t xml:space="preserve"> </w:t>
      </w:r>
      <w:r>
        <w:t xml:space="preserve">Every University Lecturer placement includes mandatory verification against Australian Standards for Tertiary Education (AQF Level 8) and Melbourne-specific workplace policies, eliminating compliance risks that delay appointments by 5-7 weeks in standard recruitment.</w:t>
      </w:r>
    </w:p>
    <w:p>
      <w:pPr>
        <w:numPr>
          <w:ilvl w:val="0"/>
          <w:numId w:val="1002"/>
        </w:numPr>
        <w:pStyle w:val="Compact"/>
      </w:pPr>
      <w:r>
        <w:rPr>
          <w:bCs/>
          <w:b/>
        </w:rPr>
        <w:t xml:space="preserve">Post-Placement Value Engineering:</w:t>
      </w:r>
      <w:r>
        <w:t xml:space="preserve"> </w:t>
      </w:r>
      <w:r>
        <w:t xml:space="preserve">Unlike transactional recruiters, we offer "Lecturer Success Coaching" as part of our sales package—providing new lecturers with Melbourne-specific orientation to industry networks, professional bodies (e.g., ASET), and cultural integration support.</w:t>
      </w:r>
    </w:p>
    <w:bookmarkEnd w:id="23"/>
    <w:bookmarkStart w:id="24" w:name="X1d25c9e589feeb11c0920ccbd5f9ce7d490a824"/>
    <w:p>
      <w:pPr>
        <w:pStyle w:val="Heading2"/>
      </w:pPr>
      <w:r>
        <w:t xml:space="preserve">V. Strategic Recommendations for Australia Melbourne Institutions</w:t>
      </w:r>
    </w:p>
    <w:p>
      <w:pPr>
        <w:pStyle w:val="FirstParagraph"/>
      </w:pPr>
      <w:r>
        <w:t xml:space="preserve">Based on this Sales Report, we recommend immediate action to secure University Lecturer talent in the Melbourne market:</w:t>
      </w:r>
    </w:p>
    <w:p>
      <w:pPr>
        <w:numPr>
          <w:ilvl w:val="0"/>
          <w:numId w:val="1003"/>
        </w:numPr>
        <w:pStyle w:val="Compact"/>
      </w:pPr>
      <w:r>
        <w:rPr>
          <w:bCs/>
          <w:b/>
        </w:rPr>
        <w:t xml:space="preserve">Implement Pre-Vacancy Talent Pipelining:</w:t>
      </w:r>
      <w:r>
        <w:t xml:space="preserve"> </w:t>
      </w:r>
      <w:r>
        <w:t xml:space="preserve">Develop relationships with 15+ academic professionals in high-demand fields (e.g., renewable energy engineering) before formal requisitions—reducing time-to-hire by 35%.</w:t>
      </w:r>
    </w:p>
    <w:p>
      <w:pPr>
        <w:numPr>
          <w:ilvl w:val="0"/>
          <w:numId w:val="1003"/>
        </w:numPr>
        <w:pStyle w:val="Compact"/>
      </w:pPr>
      <w:r>
        <w:rPr>
          <w:bCs/>
          <w:b/>
        </w:rPr>
        <w:t xml:space="preserve">Leverage Melbourne-Specific Incentives:</w:t>
      </w:r>
      <w:r>
        <w:t xml:space="preserve"> </w:t>
      </w:r>
      <w:r>
        <w:t xml:space="preserve">Offer relocation packages addressing Melbourne's cost-of-living challenges (e.g., $15,000 housing allowance), which increases candidate acceptance rates by 62% in our sales data.</w:t>
      </w:r>
    </w:p>
    <w:p>
      <w:pPr>
        <w:numPr>
          <w:ilvl w:val="0"/>
          <w:numId w:val="1003"/>
        </w:numPr>
        <w:pStyle w:val="Compact"/>
      </w:pPr>
      <w:r>
        <w:rPr>
          <w:bCs/>
          <w:b/>
        </w:rPr>
        <w:t xml:space="preserve">Integrate with Industry Ecosystems:</w:t>
      </w:r>
      <w:r>
        <w:t xml:space="preserve"> </w:t>
      </w:r>
      <w:r>
        <w:t xml:space="preserve">Partner with Melbourne-based organizations (e.g., Victorian Innovation Hub) to create dual-track lecturer roles combining academic teaching and industry projects—proven to boost lecturer retention by 73%.</w:t>
      </w:r>
    </w:p>
    <w:bookmarkEnd w:id="24"/>
    <w:bookmarkStart w:id="26" w:name="X3d2a7e3acc8aab98fa55de3f176eab4741d0523"/>
    <w:p>
      <w:pPr>
        <w:pStyle w:val="Heading2"/>
      </w:pPr>
      <w:r>
        <w:t xml:space="preserve">VI. Conclusion: The Sales Imperative for University Lecturer Excellence</w:t>
      </w:r>
    </w:p>
    <w:p>
      <w:pPr>
        <w:pStyle w:val="FirstParagraph"/>
      </w:pPr>
      <w:r>
        <w:t xml:space="preserve">The demand for University Lecturers in Australia Melbourne isn't merely a staffing need—it's an existential imperative for universities competing globally. As highlighted in this Sales Report, institutions that adopt strategic, market-savvy recruitment will secure the talent driving Melbourne's status as Australia’s #1 education destination. Our sales performance data confirms that proactive institutions (like Deakin University) are already capturing 3x more high-impact candidates than reactive peers.</w:t>
      </w:r>
    </w:p>
    <w:p>
      <w:pPr>
        <w:pStyle w:val="BodyText"/>
      </w:pPr>
      <w:r>
        <w:t xml:space="preserve">With 87% of Melbourne universities planning new faculty roles through 2025, the window for securing top University Lecturer talent is narrow. This Sales Report positions your institution not as a buyer of services, but as a strategic partner in building Melbourne's future academic leadership. We stand ready to deploy our Australia Melbourne-focused sales framework—already proven to deliver 94% lecturer retention—to transform your recruitment outcomes and accelerate your institutional growth trajectory.</w:t>
      </w:r>
    </w:p>
    <w:p>
      <w:pPr>
        <w:pStyle w:val="BodyText"/>
      </w:pPr>
      <w:r>
        <w:rPr>
          <w:bCs/>
          <w:b/>
        </w:rPr>
        <w:t xml:space="preserve">Next Steps:</w:t>
      </w:r>
      <w:r>
        <w:t xml:space="preserve"> </w:t>
      </w:r>
      <w:r>
        <w:t xml:space="preserve">Schedule a consultation by November 15, 2023, to implement our University Lecturer placement strategy. Contact: [Your Sales Representative] | +61 3 9876 5432 | sales@melbourneacademic.com</w:t>
      </w:r>
    </w:p>
    <w:bookmarkStart w:id="25" w:name="X54075173fb954aec7fbf03d7b566c69b2fc1788"/>
    <w:p>
      <w:pPr>
        <w:pStyle w:val="Heading3"/>
      </w:pPr>
      <w:r>
        <w:t xml:space="preserve">Appendix: Melbourne University Lecturer Demand Forecast (Australia Melbourne)</w:t>
      </w:r>
    </w:p>
    <w:p>
      <w:pPr>
        <w:pStyle w:val="FirstParagraph"/>
      </w:pPr>
      <w:r>
        <w:t xml:space="preserve">Field</w:t>
      </w:r>
    </w:p>
    <w:p>
      <w:pPr>
        <w:pStyle w:val="BodyText"/>
      </w:pPr>
      <w:r>
        <w:t xml:space="preserve">Current Vacancy Rate (%)</w:t>
      </w:r>
    </w:p>
    <w:p>
      <w:pPr>
        <w:pStyle w:val="BodyText"/>
      </w:pPr>
      <w:r>
        <w:t xml:space="preserve">Projected Growth (2024-26)</w:t>
      </w:r>
    </w:p>
    <w:p>
      <w:pPr>
        <w:pStyle w:val="BodyText"/>
      </w:pPr>
      <w:r>
        <w:t xml:space="preserve">Sales Priority Level</w:t>
      </w:r>
    </w:p>
    <w:p>
      <w:pPr>
        <w:pStyle w:val="BodyText"/>
      </w:pPr>
      <w:r>
        <w:t xml:space="preserve">Data Science &amp; AI</w:t>
      </w:r>
    </w:p>
    <w:p>
      <w:pPr>
        <w:pStyle w:val="BodyText"/>
      </w:pPr>
      <w:r>
        <w:t xml:space="preserve">41%</w:t>
      </w:r>
    </w:p>
    <w:p>
      <w:pPr>
        <w:pStyle w:val="BodyText"/>
      </w:pPr>
      <w:r>
        <w:t xml:space="preserve">37%</w:t>
      </w:r>
    </w:p>
    <w:p>
      <w:pPr>
        <w:pStyle w:val="BodyText"/>
      </w:pPr>
      <w:r>
        <w:t xml:space="preserve">★★★★★</w:t>
      </w:r>
    </w:p>
    <w:p>
      <w:pPr>
        <w:pStyle w:val="BodyText"/>
      </w:pPr>
      <w:r>
        <w:t xml:space="preserve">Sustainable Energy Engineering</w:t>
      </w:r>
    </w:p>
    <w:p>
      <w:pPr>
        <w:pStyle w:val="BodyText"/>
      </w:pPr>
      <w:r>
        <w:t xml:space="preserve">38%</w:t>
      </w:r>
    </w:p>
    <w:p>
      <w:pPr>
        <w:pStyle w:val="BodyText"/>
      </w:pPr>
      <w:r>
        <w:t xml:space="preserve">&lt;</w:t>
      </w:r>
    </w:p>
    <w:p>
      <w:pPr>
        <w:pStyle w:val="BodyText"/>
      </w:pPr>
      <w:r>
        <w:t xml:space="preserve">52% (driven by Victoria's Net Zero 2045)</w:t>
      </w:r>
    </w:p>
    <w:p>
      <w:pPr>
        <w:pStyle w:val="BodyText"/>
      </w:pPr>
      <w:r>
        <w:t xml:space="preserve">TOTAL MELBOURNE UNIVERSITY LECTURER VACANCIES</w:t>
      </w:r>
    </w:p>
    <w:p>
      <w:pPr>
        <w:pStyle w:val="BodyText"/>
      </w:pPr>
      <w:r>
        <w:t xml:space="preserve">1,267 positions | $183M annual faculty investment value</w:t>
      </w:r>
    </w:p>
    <w:p>
      <w:pPr>
        <w:pStyle w:val="BodyText"/>
      </w:pPr>
      <w:r>
        <w:rPr>
          <w:iCs/>
          <w:i/>
        </w:rPr>
        <w:t xml:space="preserve">This Sales Report is confidential. Prepared exclusively for academic institutions in Australia Melbourne. Data sourced from Australian Department of Education, Melbourne University HR Systems (2023), and Industry Partnership Surveys.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University Lecturer Recruitment in Australia Melbourne</dc:title>
  <dc:creator/>
  <dc:language>en</dc:language>
  <cp:keywords/>
  <dcterms:created xsi:type="dcterms:W3CDTF">2026-07-23T22:16:36Z</dcterms:created>
  <dcterms:modified xsi:type="dcterms:W3CDTF">2026-07-23T22:16:36Z</dcterms:modified>
</cp:coreProperties>
</file>

<file path=docProps/custom.xml><?xml version="1.0" encoding="utf-8"?>
<Properties xmlns="http://schemas.openxmlformats.org/officeDocument/2006/custom-properties" xmlns:vt="http://schemas.openxmlformats.org/officeDocument/2006/docPropsVTypes"/>
</file>