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Belgium</w:t>
      </w:r>
      <w:r>
        <w:t xml:space="preserve"> </w:t>
      </w:r>
      <w:r>
        <w:t xml:space="preserve">Brussels</w:t>
      </w:r>
    </w:p>
    <w:bookmarkStart w:id="27" w:name="Xb4f35bdca0d2333017adc37978875c4217b4a89"/>
    <w:p>
      <w:pPr>
        <w:pStyle w:val="Heading1"/>
      </w:pPr>
      <w:r>
        <w:t xml:space="preserve">SALES REPORT FOR UNIVERSITY LECTURER PERFORMANCE IN BELGIUM BRUSSELS</w:t>
      </w:r>
    </w:p>
    <w:p>
      <w:pPr>
        <w:pStyle w:val="FirstParagraph"/>
      </w:pPr>
      <w:r>
        <w:t xml:space="preserve">Prepared for the Brussels Regional Education Advisory Committee | October 2023</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metrics and strategic initiatives of our University Lecturer sales team operating within the dynamic educational landscape of Belgium Brussels. As a critical component of our higher education commercial strategy, this report demonstrates how dedicated academic professionals have successfully transformed into high-performing sales specialists while maintaining pedagogical excellence. The data reveals a remarkable 37% year-over-year growth in program enrollments across Brussels-based institutions, directly attributable to the unique dual expertise of our University Lecturer sales force. This</w:t>
      </w:r>
      <w:r>
        <w:t xml:space="preserve"> </w:t>
      </w:r>
      <w:r>
        <w:rPr>
          <w:bCs/>
          <w:b/>
        </w:rPr>
        <w:t xml:space="preserve">University Lecturer</w:t>
      </w:r>
      <w:r>
        <w:t xml:space="preserve">-led approach has established Belgium Brussels as a model for academic-commercial synergy in European education markets.</w:t>
      </w:r>
    </w:p>
    <w:bookmarkEnd w:id="20"/>
    <w:bookmarkStart w:id="21" w:name="Xb5172595795b7169552c294019c142003d25908"/>
    <w:p>
      <w:pPr>
        <w:pStyle w:val="Heading2"/>
      </w:pPr>
      <w:r>
        <w:t xml:space="preserve">Market Context: Belgium Brussels Educational Environment</w:t>
      </w:r>
    </w:p>
    <w:p>
      <w:pPr>
        <w:pStyle w:val="FirstParagraph"/>
      </w:pPr>
      <w:r>
        <w:t xml:space="preserve">The educational ecosystem of Belgium Brussels presents a uniquely fertile ground for specialized sales strategies. As the political and cultural heart of the European Union, Brussels hosts over 70 international universities and institutions including KU Leuven, VUB, ULiège, and numerous EU-affiliated bodies. This concentration creates an exceptional environment for our</w:t>
      </w:r>
      <w:r>
        <w:t xml:space="preserve"> </w:t>
      </w:r>
      <w:r>
        <w:rPr>
          <w:bCs/>
          <w:b/>
        </w:rPr>
        <w:t xml:space="preserve">University Lecturer</w:t>
      </w:r>
      <w:r>
        <w:t xml:space="preserve"> </w:t>
      </w:r>
      <w:r>
        <w:t xml:space="preserve">sales professionals to leverage academic credibility while navigating complex institutional procurement processes. The recent European Higher Education Area (EHEA) reforms have further intensified demand for customized educational solutions, making this market a strategic priority for our global sales strategy.</w:t>
      </w:r>
    </w:p>
    <w:p>
      <w:pPr>
        <w:pStyle w:val="BodyText"/>
      </w:pPr>
      <w:r>
        <w:t xml:space="preserve">This</w:t>
      </w:r>
      <w:r>
        <w:t xml:space="preserve"> </w:t>
      </w:r>
      <w:r>
        <w:rPr>
          <w:bCs/>
          <w:b/>
        </w:rPr>
        <w:t xml:space="preserve">Sales Report</w:t>
      </w:r>
      <w:r>
        <w:t xml:space="preserve"> </w:t>
      </w:r>
      <w:r>
        <w:t xml:space="preserve">specifically analyzes Q3 2023 performance where our University Lecturer team executed 147 client engagements across Brussels' academic community. The success of this initiative proves that when academic expertise directly informs commercial strategy, organizations achieve superior market penetration in knowledge-intensive sectors like higher education.</w:t>
      </w:r>
    </w:p>
    <w:bookmarkEnd w:id="21"/>
    <w:bookmarkStart w:id="22" w:name="key-performance-indicators-q3-2023"/>
    <w:p>
      <w:pPr>
        <w:pStyle w:val="Heading2"/>
      </w:pPr>
      <w:r>
        <w:t xml:space="preserve">Key Performance Indicators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University Lecturer-Generated Sales Revenue (Brussels)</w:t>
            </w:r>
          </w:p>
        </w:tc>
        <w:tc>
          <w:tcPr/>
          <w:p>
            <w:pPr>
              <w:pStyle w:val="Compact"/>
              <w:jc w:val="left"/>
            </w:pPr>
            <w:r>
              <w:t xml:space="preserve">€1.84M</w:t>
            </w:r>
          </w:p>
        </w:tc>
        <w:tc>
          <w:tcPr/>
          <w:p>
            <w:pPr>
              <w:pStyle w:val="Compact"/>
              <w:jc w:val="left"/>
            </w:pPr>
            <w:r>
              <w:t xml:space="preserve">€1.35M</w:t>
            </w:r>
          </w:p>
        </w:tc>
        <w:tc>
          <w:tcPr/>
          <w:p>
            <w:pPr>
              <w:pStyle w:val="Compact"/>
              <w:jc w:val="left"/>
            </w:pPr>
            <w:r>
              <w:t xml:space="preserve">+36.3%</w:t>
            </w:r>
          </w:p>
        </w:tc>
      </w:tr>
      <w:tr>
        <w:tc>
          <w:tcPr/>
          <w:p>
            <w:pPr>
              <w:pStyle w:val="Compact"/>
              <w:jc w:val="left"/>
            </w:pPr>
            <w:r>
              <w:t xml:space="preserve">Client Acquisition Rate (New Institutions)</w:t>
            </w:r>
          </w:p>
        </w:tc>
        <w:tc>
          <w:tcPr/>
          <w:p>
            <w:pPr>
              <w:pStyle w:val="Compact"/>
              <w:jc w:val="left"/>
            </w:pPr>
            <w:r>
              <w:t xml:space="preserve">28</w:t>
            </w:r>
          </w:p>
        </w:tc>
        <w:tc>
          <w:tcPr/>
          <w:p>
            <w:pPr>
              <w:pStyle w:val="Compact"/>
              <w:jc w:val="left"/>
            </w:pPr>
            <w:r>
              <w:t xml:space="preserve">19</w:t>
            </w:r>
          </w:p>
        </w:tc>
        <w:tc>
          <w:tcPr/>
          <w:p>
            <w:pPr>
              <w:pStyle w:val="Compact"/>
              <w:jc w:val="left"/>
            </w:pPr>
            <w:r>
              <w:t xml:space="preserve">+47.4%</w:t>
            </w:r>
          </w:p>
        </w:tc>
      </w:tr>
      <w:tr>
        <w:tc>
          <w:tcPr/>
          <w:p>
            <w:pPr>
              <w:pStyle w:val="Compact"/>
              <w:jc w:val="left"/>
            </w:pPr>
            <w:r>
              <w:t xml:space="preserve">University Lecturer Sales Conversion Rate</w:t>
            </w:r>
          </w:p>
        </w:tc>
        <w:tc>
          <w:tcPr/>
          <w:p>
            <w:pPr>
              <w:pStyle w:val="Compact"/>
              <w:jc w:val="left"/>
            </w:pPr>
            <w:r>
              <w:t xml:space="preserve">63.7%</w:t>
            </w:r>
          </w:p>
        </w:tc>
        <w:tc>
          <w:tcPr/>
          <w:p>
            <w:pPr>
              <w:pStyle w:val="Compact"/>
              <w:jc w:val="left"/>
            </w:pPr>
            <w:r>
              <w:t xml:space="preserve">52.1%</w:t>
            </w:r>
          </w:p>
        </w:tc>
        <w:tc>
          <w:tcPr/>
          <w:p>
            <w:pPr>
              <w:pStyle w:val="Compact"/>
              <w:jc w:val="left"/>
            </w:pPr>
            <w:r>
              <w:t xml:space="preserve">+11.6pp</w:t>
            </w:r>
          </w:p>
        </w:tc>
      </w:tr>
      <w:tr>
        <w:tc>
          <w:tcPr/>
          <w:p>
            <w:pPr>
              <w:pStyle w:val="Compact"/>
              <w:jc w:val="left"/>
            </w:pPr>
            <w:r>
              <w:t xml:space="preserve">Client Retention Rate (Existing Accounts)</w:t>
            </w:r>
          </w:p>
        </w:tc>
        <w:tc>
          <w:tcPr/>
          <w:p>
            <w:pPr>
              <w:pStyle w:val="Compact"/>
              <w:jc w:val="left"/>
            </w:pPr>
            <w:r>
              <w:t xml:space="preserve">92%</w:t>
            </w:r>
          </w:p>
        </w:tc>
        <w:tc>
          <w:tcPr/>
          <w:p>
            <w:pPr>
              <w:pStyle w:val="Compact"/>
              <w:jc w:val="left"/>
            </w:pPr>
            <w:r>
              <w:t xml:space="preserve">85%</w:t>
            </w:r>
          </w:p>
        </w:tc>
        <w:tc>
          <w:tcPr/>
          <w:p>
            <w:pPr>
              <w:pStyle w:val="Compact"/>
              <w:jc w:val="left"/>
            </w:pPr>
            <w:r>
              <w:t xml:space="preserve">+7%</w:t>
            </w:r>
          </w:p>
        </w:tc>
      </w:tr>
    </w:tbl>
    <w:bookmarkEnd w:id="22"/>
    <w:bookmarkStart w:id="23" w:name="X3693a5ebbddc49cb4bd3522f2b4a2ec73baea01"/>
    <w:p>
      <w:pPr>
        <w:pStyle w:val="Heading2"/>
      </w:pPr>
      <w:r>
        <w:t xml:space="preserve">Strategic Analysis: University Lecturer Value Proposition</w:t>
      </w:r>
    </w:p>
    <w:p>
      <w:pPr>
        <w:pStyle w:val="FirstParagraph"/>
      </w:pPr>
      <w:r>
        <w:t xml:space="preserve">The unparalleled success in Belgium Brussels stems directly from our</w:t>
      </w:r>
      <w:r>
        <w:t xml:space="preserve"> </w:t>
      </w:r>
      <w:r>
        <w:rPr>
          <w:bCs/>
          <w:b/>
        </w:rPr>
        <w:t xml:space="preserve">University Lecturer</w:t>
      </w:r>
      <w:r>
        <w:t xml:space="preserve"> </w:t>
      </w:r>
      <w:r>
        <w:t xml:space="preserve">sales model. Unlike traditional corporate sales teams, our lecturers possess authentic academic credentials and institutional relationships that resonate deeply with Brussels' education stakeholders. This is not merely a sales strategy—it's a paradigm shift in how higher education services are commercialized.</w:t>
      </w:r>
    </w:p>
    <w:p>
      <w:pPr>
        <w:pStyle w:val="BodyText"/>
      </w:pPr>
      <w:r>
        <w:t xml:space="preserve">In Belgium Brussels, where academic reputation is paramount, our University Lecturer professionals leverage their teaching experience to demonstrate solution efficacy through: (1) Customizable curriculum mapping for EU-aligned programs, (2) Direct access to faculty decision-makers via academic networks, and (3) Technical demonstrations of learning outcomes—something generic sales teams cannot replicate. This approach transformed a 5% win rate for our standard sales team into a 63.7% conversion rate for</w:t>
      </w:r>
      <w:r>
        <w:t xml:space="preserve"> </w:t>
      </w:r>
      <w:r>
        <w:rPr>
          <w:bCs/>
          <w:b/>
        </w:rPr>
        <w:t xml:space="preserve">University Lecturer</w:t>
      </w:r>
      <w:r>
        <w:t xml:space="preserve">-led engagements.</w:t>
      </w:r>
    </w:p>
    <w:p>
      <w:pPr>
        <w:pStyle w:val="BodyText"/>
      </w:pPr>
      <w:r>
        <w:t xml:space="preserve">A critical insight from this</w:t>
      </w:r>
      <w:r>
        <w:t xml:space="preserve"> </w:t>
      </w:r>
      <w:r>
        <w:rPr>
          <w:bCs/>
          <w:b/>
        </w:rPr>
        <w:t xml:space="preserve">Sales Report</w:t>
      </w:r>
      <w:r>
        <w:t xml:space="preserve"> </w:t>
      </w:r>
      <w:r>
        <w:t xml:space="preserve">reveals that institutions in Belgium Brussels prioritize pedagogical integrity over price alone. Our University Lecturer staff's ability to articulate learning outcomes through an academic lens—rather than sales jargon—resulted in 89% of contracts exceeding initial revenue projections.</w:t>
      </w:r>
    </w:p>
    <w:bookmarkEnd w:id="23"/>
    <w:bookmarkStart w:id="24" w:name="X5100d3076211ee2565c1bdde3f546ae33f9dae8"/>
    <w:p>
      <w:pPr>
        <w:pStyle w:val="Heading2"/>
      </w:pPr>
      <w:r>
        <w:t xml:space="preserve">Belgium Brussels Market Challenges &amp; Solutions</w:t>
      </w:r>
    </w:p>
    <w:p>
      <w:pPr>
        <w:pStyle w:val="FirstParagraph"/>
      </w:pPr>
      <w:r>
        <w:t xml:space="preserve">Operating in Belgium Brussels presents unique complexities requiring specialized sales approaches:</w:t>
      </w:r>
    </w:p>
    <w:p>
      <w:pPr>
        <w:numPr>
          <w:ilvl w:val="0"/>
          <w:numId w:val="1001"/>
        </w:numPr>
        <w:pStyle w:val="Compact"/>
      </w:pPr>
      <w:r>
        <w:rPr>
          <w:bCs/>
          <w:b/>
        </w:rPr>
        <w:t xml:space="preserve">Cultural Nuances:</w:t>
      </w:r>
      <w:r>
        <w:t xml:space="preserve"> </w:t>
      </w:r>
      <w:r>
        <w:t xml:space="preserve">The bilingual (Dutch/French) environment necessitates culturally attuned communication—addressed by embedding local University Lecturers with native fluency in both languages</w:t>
      </w:r>
    </w:p>
    <w:p>
      <w:pPr>
        <w:numPr>
          <w:ilvl w:val="0"/>
          <w:numId w:val="1001"/>
        </w:numPr>
        <w:pStyle w:val="Compact"/>
      </w:pPr>
      <w:r>
        <w:rPr>
          <w:bCs/>
          <w:b/>
        </w:rPr>
        <w:t xml:space="preserve">Regulatory Landscape:</w:t>
      </w:r>
      <w:r>
        <w:t xml:space="preserve"> </w:t>
      </w:r>
      <w:r>
        <w:t xml:space="preserve">EU education compliance requirements were simplified through University Lecturer-led regulatory workshops, reducing onboarding time by 40%</w:t>
      </w:r>
    </w:p>
    <w:p>
      <w:pPr>
        <w:numPr>
          <w:ilvl w:val="0"/>
          <w:numId w:val="1001"/>
        </w:numPr>
        <w:pStyle w:val="Compact"/>
      </w:pPr>
      <w:r>
        <w:rPr>
          <w:bCs/>
          <w:b/>
        </w:rPr>
        <w:t xml:space="preserve">Institutional Politics:</w:t>
      </w:r>
      <w:r>
        <w:t xml:space="preserve"> </w:t>
      </w:r>
      <w:r>
        <w:t xml:space="preserve">Complex procurement committees were navigated via lecturers' existing academic committee memberships</w:t>
      </w:r>
    </w:p>
    <w:p>
      <w:pPr>
        <w:pStyle w:val="FirstParagraph"/>
      </w:pPr>
      <w:r>
        <w:t xml:space="preserve">This tailored strategy directly contributed to our record-breaking Q3 performance in Belgium Brussels, proving that the University Lecturer model is not just effective—it's essential for market dominance.</w:t>
      </w:r>
    </w:p>
    <w:bookmarkEnd w:id="24"/>
    <w:bookmarkStart w:id="25" w:name="X8b32a4f2cef9870e5e1920aaeae13370657e945"/>
    <w:p>
      <w:pPr>
        <w:pStyle w:val="Heading2"/>
      </w:pPr>
      <w:r>
        <w:t xml:space="preserve">Recommendations for Belgium Brussels Expansion</w:t>
      </w:r>
    </w:p>
    <w:p>
      <w:pPr>
        <w:pStyle w:val="FirstParagraph"/>
      </w:pPr>
      <w:r>
        <w:t xml:space="preserve">Based on this</w:t>
      </w:r>
      <w:r>
        <w:t xml:space="preserve"> </w:t>
      </w:r>
      <w:r>
        <w:rPr>
          <w:bCs/>
          <w:b/>
        </w:rPr>
        <w:t xml:space="preserve">Sales Report</w:t>
      </w:r>
      <w:r>
        <w:t xml:space="preserve">, we recommend three strategic actions to capitalize on our University Lecturer success in Belgium Brussels:</w:t>
      </w:r>
    </w:p>
    <w:p>
      <w:pPr>
        <w:numPr>
          <w:ilvl w:val="0"/>
          <w:numId w:val="1002"/>
        </w:numPr>
        <w:pStyle w:val="Compact"/>
      </w:pPr>
      <w:r>
        <w:rPr>
          <w:bCs/>
          <w:b/>
        </w:rPr>
        <w:t xml:space="preserve">Expand Lecturer Sales Corps:</w:t>
      </w:r>
      <w:r>
        <w:t xml:space="preserve"> </w:t>
      </w:r>
      <w:r>
        <w:t xml:space="preserve">Recruit 15 additional University Lecturers with EU policy expertise by Q1 2024, focusing on Brussels' international institutions</w:t>
      </w:r>
    </w:p>
    <w:p>
      <w:pPr>
        <w:numPr>
          <w:ilvl w:val="0"/>
          <w:numId w:val="1002"/>
        </w:numPr>
        <w:pStyle w:val="Compact"/>
      </w:pPr>
      <w:r>
        <w:rPr>
          <w:bCs/>
          <w:b/>
        </w:rPr>
        <w:t xml:space="preserve">Develop Brussels-Specific Training:</w:t>
      </w:r>
      <w:r>
        <w:t xml:space="preserve"> </w:t>
      </w:r>
      <w:r>
        <w:t xml:space="preserve">Create certification programs for University Lecturers in EU education compliance (Erasmus+ framework, EHEA standards)</w:t>
      </w:r>
    </w:p>
    <w:p>
      <w:pPr>
        <w:numPr>
          <w:ilvl w:val="0"/>
          <w:numId w:val="1002"/>
        </w:numPr>
        <w:pStyle w:val="Compact"/>
      </w:pPr>
      <w:r>
        <w:rPr>
          <w:bCs/>
          <w:b/>
        </w:rPr>
        <w:t xml:space="preserve">Launch "Academic Ambassador" Program:</w:t>
      </w:r>
      <w:r>
        <w:t xml:space="preserve"> </w:t>
      </w:r>
      <w:r>
        <w:t xml:space="preserve">Formalize relationships with key Brussels universities (VUB, ULiège) to create dedicated University Lecturer referral pathways</w:t>
      </w:r>
    </w:p>
    <w:p>
      <w:pPr>
        <w:pStyle w:val="FirstParagraph"/>
      </w:pPr>
      <w:r>
        <w:t xml:space="preserve">These initiatives will position Belgium Brussels as our flagship region for the University Lecturer sales model, with projected revenue growth of 52% by end-2024.</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Sales Report</w:t>
      </w:r>
      <w:r>
        <w:t xml:space="preserve"> </w:t>
      </w:r>
      <w:r>
        <w:t xml:space="preserve">unequivocally demonstrates that the University Lecturer sales model has become the cornerstone of our Belgium Brussels strategy. The data proves that academic credibility directly translates to commercial success in this high-value market. Where traditional sales approaches struggled with institutional trust barriers, our University Lecturer professionals have achieved remarkable penetration by speaking the language of academia while delivering measurable business outcomes.</w:t>
      </w:r>
    </w:p>
    <w:p>
      <w:pPr>
        <w:pStyle w:val="BodyText"/>
      </w:pPr>
      <w:r>
        <w:t xml:space="preserve">As Belgium Brussels continues to solidify its position as Europe's education innovation hub, we will double down on this differentiated approach. The integration of academic excellence with sales acumen—embodied by our University Lecturer team—is not merely a strategy; it's the future of higher education commercialization. This report serves as both an achievement milestone and a blueprint for scaling this model across all EU markets, starting with our most dynamic region: Belgium Brussels.</w:t>
      </w:r>
    </w:p>
    <w:p>
      <w:pPr>
        <w:pStyle w:val="BodyText"/>
      </w:pPr>
      <w:r>
        <w:rPr>
          <w:bCs/>
          <w:b/>
        </w:rPr>
        <w:t xml:space="preserve">Prepared by:</w:t>
      </w:r>
      <w:r>
        <w:br/>
      </w:r>
      <w:r>
        <w:t xml:space="preserve">Global Sales Intelligence Division</w:t>
      </w:r>
      <w:r>
        <w:br/>
      </w:r>
      <w:r>
        <w:t xml:space="preserve">International Education Solutions Group</w:t>
      </w:r>
      <w:r>
        <w:br/>
      </w:r>
      <w:r>
        <w:t xml:space="preserve">Brussels Office, Belgium</w:t>
      </w:r>
    </w:p>
    <w:p>
      <w:pPr>
        <w:pStyle w:val="BodyText"/>
      </w:pPr>
      <w:r>
        <w:rPr>
          <w:bCs/>
          <w:b/>
        </w:rPr>
        <w:t xml:space="preserve">Key Takeaway:</w:t>
      </w:r>
      <w:r>
        <w:t xml:space="preserve"> </w:t>
      </w:r>
      <w:r>
        <w:t xml:space="preserve">In the competitive landscape of Belgium Brussels education, the University Lecturer sales professional isn't just a seller—they are a trusted academic partner. This unique value proposition, validated by this Sales Report, delivers superior results that generic sales teams cannot replicate in knowledge-intensive markets.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Performance Report - Belgium Brussels</dc:title>
  <dc:creator/>
  <dc:language>en</dc:language>
  <cp:keywords/>
  <dcterms:created xsi:type="dcterms:W3CDTF">2026-07-21T06:00:33Z</dcterms:created>
  <dcterms:modified xsi:type="dcterms:W3CDTF">2026-07-21T06:00:33Z</dcterms:modified>
</cp:coreProperties>
</file>

<file path=docProps/custom.xml><?xml version="1.0" encoding="utf-8"?>
<Properties xmlns="http://schemas.openxmlformats.org/officeDocument/2006/custom-properties" xmlns:vt="http://schemas.openxmlformats.org/officeDocument/2006/docPropsVTypes"/>
</file>