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03fab51d62ba29c62dffbbcd5f6257ef1cd5a40"/>
    <w:p>
      <w:pPr>
        <w:pStyle w:val="Heading1"/>
      </w:pPr>
      <w:r>
        <w:t xml:space="preserve">Sales Report: University Lecturer Recruitment Success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&amp; HR Department, São Paulo Campus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successful recruitment campaign for University Lecturer positions across multiple disciplines at our São Paulo campus. Leveraging strategic market intelligence and culturally nuanced engagement tactics, we achieved a 95% fill rate for all 18 lecturer vacancies within the target timeframe—surpassing our quarterly sales goal by 32%. The initiative directly addressed critical faculty shortages in STEM and Business Administration programs, positioning São Paulo as a leading academic hub in Brazil. Crucially, this success was driven by specialized outreach to Brazilian higher education networks, demonstrating how targeted "sales" of academic roles can transform institutional capacity.</w:t>
      </w:r>
    </w:p>
    <w:bookmarkEnd w:id="20"/>
    <w:bookmarkStart w:id="21" w:name="X22b0f37c6414400174dd7a62b2dff46234880f4"/>
    <w:p>
      <w:pPr>
        <w:pStyle w:val="Heading2"/>
      </w:pPr>
      <w:r>
        <w:t xml:space="preserve">II. Market Context: Why São Paulo Demands Strategic Lecturer Recruitment</w:t>
      </w:r>
    </w:p>
    <w:p>
      <w:pPr>
        <w:pStyle w:val="FirstParagraph"/>
      </w:pPr>
      <w:r>
        <w:t xml:space="preserve">São Paulo represents Brazil's most dynamic academic market, hosting 40% of the nation's top universities and 68% of international student enrollments. However, a severe lecturer shortage persists—projected at 12,000 vacancies nationwide by 2025 (IBGE, 2023). Our campus faced acute gaps in Engineering (7 vacancies) and International Business (5 vacancies), directly impacting curriculum delivery and enrollment rates. Traditional recruitment channels failed to attract qualified candidates from São Paulo's competitive academic ecosystem. This report outlines how we repositioned "lecturer recruitment" as a strategic sales opportunity rather than a routine HR task.</w:t>
      </w:r>
    </w:p>
    <w:bookmarkEnd w:id="21"/>
    <w:bookmarkStart w:id="22" w:name="Xf6e513b676ca7776b2ec8d190346c9a145e38a8"/>
    <w:p>
      <w:pPr>
        <w:pStyle w:val="Heading2"/>
      </w:pPr>
      <w:r>
        <w:t xml:space="preserve">III. Sales Strategy: Targeted Engagement in Brazil São Paulo</w:t>
      </w:r>
    </w:p>
    <w:p>
      <w:pPr>
        <w:pStyle w:val="FirstParagraph"/>
      </w:pPr>
      <w:r>
        <w:rPr>
          <w:bCs/>
          <w:b/>
        </w:rPr>
        <w:t xml:space="preserve">Market Segmentation:</w:t>
      </w:r>
      <w:r>
        <w:t xml:space="preserve"> </w:t>
      </w:r>
      <w:r>
        <w:t xml:space="preserve">We divided the São Paulo academic landscape into three priority segments:</w:t>
      </w:r>
    </w:p>
    <w:p>
      <w:pPr>
        <w:numPr>
          <w:ilvl w:val="0"/>
          <w:numId w:val="1001"/>
        </w:numPr>
        <w:pStyle w:val="Compact"/>
      </w:pPr>
      <w:r>
        <w:rPr>
          <w:iCs/>
          <w:i/>
        </w:rPr>
        <w:t xml:space="preserve">Top-tier Universities (USP, UNICAMP):</w:t>
      </w:r>
      <w:r>
        <w:t xml:space="preserve"> </w:t>
      </w:r>
      <w:r>
        <w:t xml:space="preserve">Focused on lateral moves with competitive compensation packages including research funding.</w:t>
      </w:r>
    </w:p>
    <w:p>
      <w:pPr>
        <w:numPr>
          <w:ilvl w:val="0"/>
          <w:numId w:val="1001"/>
        </w:numPr>
        <w:pStyle w:val="Compact"/>
      </w:pPr>
      <w:r>
        <w:rPr>
          <w:iCs/>
          <w:i/>
        </w:rPr>
        <w:t xml:space="preserve">Newer Private Institutions:</w:t>
      </w:r>
      <w:r>
        <w:t xml:space="preserve"> </w:t>
      </w:r>
      <w:r>
        <w:t xml:space="preserve">Targeted mid-career faculty with flexible teaching loads and industry collaboration opportunities.</w:t>
      </w:r>
    </w:p>
    <w:p>
      <w:pPr>
        <w:numPr>
          <w:ilvl w:val="0"/>
          <w:numId w:val="1001"/>
        </w:numPr>
        <w:pStyle w:val="Compact"/>
      </w:pPr>
      <w:r>
        <w:rPr>
          <w:iCs/>
          <w:i/>
        </w:rPr>
        <w:t xml:space="preserve">Diaspora Scholars:</w:t>
      </w:r>
      <w:r>
        <w:t xml:space="preserve"> </w:t>
      </w:r>
      <w:r>
        <w:t xml:space="preserve">Engaged Brazilian academics abroad through partnerships with São Paulo Consulate networks and CAPES (Coordination for the Improvement of Higher Education Personnel).</w:t>
      </w:r>
    </w:p>
    <w:p>
      <w:pPr>
        <w:pStyle w:val="FirstParagraph"/>
      </w:pPr>
      <w:r>
        <w:rPr>
          <w:bCs/>
          <w:b/>
        </w:rPr>
        <w:t xml:space="preserve">Cultural Sales Tactics:</w:t>
      </w:r>
      <w:r>
        <w:t xml:space="preserve"> </w:t>
      </w:r>
      <w:r>
        <w:t xml:space="preserve">We implemented Brazil-specific engagement protocols:</w:t>
      </w:r>
    </w:p>
    <w:p>
      <w:pPr>
        <w:numPr>
          <w:ilvl w:val="0"/>
          <w:numId w:val="1002"/>
        </w:numPr>
        <w:pStyle w:val="Compact"/>
      </w:pPr>
      <w:r>
        <w:t xml:space="preserve">Conducted initial interviews via Zoom during weekday evenings (18:00-20:00 BRT) to accommodate local work rhythms.</w:t>
      </w:r>
    </w:p>
    <w:p>
      <w:pPr>
        <w:numPr>
          <w:ilvl w:val="0"/>
          <w:numId w:val="1002"/>
        </w:numPr>
        <w:pStyle w:val="Compact"/>
      </w:pPr>
      <w:r>
        <w:t xml:space="preserve">Incorporated "cultural fit" assessments focusing on Brazilian pedagogical values like *alegria acadêmica* (joyful learning) and community engagement.</w:t>
      </w:r>
    </w:p>
    <w:p>
      <w:pPr>
        <w:numPr>
          <w:ilvl w:val="0"/>
          <w:numId w:val="1002"/>
        </w:numPr>
        <w:pStyle w:val="Compact"/>
      </w:pPr>
      <w:r>
        <w:t xml:space="preserve">Partnered with São Paulo-based academic associations (ABENGE, ABRALIN) for trusted referrals, increasing candidate trust by 41%.</w:t>
      </w:r>
    </w:p>
    <w:bookmarkEnd w:id="22"/>
    <w:bookmarkStart w:id="23" w:name="Xc116c2099df0ae1dd93bd560ebf0be208c5342a"/>
    <w:p>
      <w:pPr>
        <w:pStyle w:val="Heading2"/>
      </w:pPr>
      <w:r>
        <w:t xml:space="preserve">IV. Sales Metrics: Quantifiable Success in Brazil São Paulo</w:t>
      </w:r>
    </w:p>
    <w:p>
      <w:pPr>
        <w:pStyle w:val="FirstParagraph"/>
      </w:pPr>
      <w:r>
        <w:rPr>
          <w:bCs/>
          <w:b/>
        </w:rPr>
        <w:t xml:space="preserve">Recruitment Performance:</w:t>
      </w:r>
    </w:p>
    <w:p>
      <w:pPr>
        <w:pStyle w:val="BodyText"/>
      </w:pPr>
      <w:r>
        <w:t xml:space="preserve">Key 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Lecturer Positions Filled</w:t>
      </w:r>
    </w:p>
    <w:p>
      <w:pPr>
        <w:pStyle w:val="BodyText"/>
      </w:pPr>
      <w:r>
        <w:t xml:space="preserve">14/18</w:t>
      </w:r>
    </w:p>
    <w:p>
      <w:pPr>
        <w:pStyle w:val="BodyText"/>
      </w:pPr>
      <w:r>
        <w:t xml:space="preserve">17/18</w:t>
      </w:r>
    </w:p>
    <w:p>
      <w:pPr>
        <w:pStyle w:val="BodyText"/>
      </w:pPr>
      <w:r>
        <w:t xml:space="preserve">+3.5%</w:t>
      </w:r>
    </w:p>
    <w:p>
      <w:pPr>
        <w:pStyle w:val="BodyText"/>
      </w:pPr>
      <w:r>
        <w:t xml:space="preserve">Avg. Time-to-Fill (Days)</w:t>
      </w:r>
    </w:p>
    <w:p>
      <w:pPr>
        <w:pStyle w:val="BodyText"/>
      </w:pPr>
      <w:r>
        <w:t xml:space="preserve">65</w:t>
      </w:r>
    </w:p>
    <w:p>
      <w:pPr>
        <w:pStyle w:val="BodyText"/>
      </w:pPr>
      <w:r>
        <w:t xml:space="preserve">42</w:t>
      </w:r>
    </w:p>
    <w:p>
      <w:pPr>
        <w:pStyle w:val="BodyText"/>
      </w:pPr>
      <w:r>
        <w:t xml:space="preserve">+35.4% Faster</w:t>
      </w:r>
    </w:p>
    <w:p>
      <w:pPr>
        <w:pStyle w:val="BodyText"/>
      </w:pPr>
      <w:r>
        <w:t xml:space="preserve">Candidate Diversity (% Minority/Indigenous)</w:t>
      </w:r>
    </w:p>
    <w:p>
      <w:pPr>
        <w:pStyle w:val="BodyText"/>
      </w:pPr>
      <w:r>
        <w:t xml:space="preserve">28%</w:t>
      </w:r>
    </w:p>
    <w:p>
      <w:pPr>
        <w:pStyle w:val="BodyText"/>
      </w:pPr>
      <w:r>
        <w:t xml:space="preserve">37%</w:t>
      </w:r>
    </w:p>
    <w:p>
      <w:pPr>
        <w:pStyle w:val="BodyText"/>
      </w:pPr>
      <w:r>
        <w:t xml:space="preserve">+9 pts.</w:t>
      </w:r>
    </w:p>
    <w:p>
      <w:pPr>
        <w:pStyle w:val="BodyText"/>
      </w:pPr>
      <w:r>
        <w:t xml:space="preserve">Offer Acceptance Rate</w:t>
      </w:r>
    </w:p>
    <w:p>
      <w:pPr>
        <w:pStyle w:val="BodyText"/>
      </w:pPr>
      <w:r>
        <w:t xml:space="preserve">&lt;</w:t>
      </w:r>
    </w:p>
    <w:p>
      <w:pPr>
        <w:pStyle w:val="BodyText"/>
      </w:pPr>
      <w:r>
        <w:t xml:space="preserve">65%</w:t>
      </w:r>
    </w:p>
    <w:p>
      <w:pPr>
        <w:pStyle w:val="BodyText"/>
      </w:pPr>
      <w:r>
        <w:t xml:space="preserve">89%</w:t>
      </w:r>
    </w:p>
    <w:p>
      <w:pPr>
        <w:pStyle w:val="BodyText"/>
      </w:pPr>
      <w:r>
        <w:t xml:space="preserve">+24 pts. Above Market</w:t>
      </w:r>
    </w:p>
    <w:p>
      <w:pPr>
        <w:pStyle w:val="BodyText"/>
      </w:pPr>
      <w:r>
        <w:rPr>
          <w:bCs/>
          <w:b/>
        </w:rPr>
        <w:t xml:space="preserve">Sales Impact:</w:t>
      </w:r>
      <w:r>
        <w:t xml:space="preserve"> </w:t>
      </w:r>
      <w:r>
        <w:t xml:space="preserve">The campaign generated a direct 19% increase in undergraduate enrollment for STEM programs (July-Sept 2023), with lecturer placements directly enabling new courses in AI Applications (Engineering) and Emerging Markets Strategy (Business). Notably, all 17 hires came from within Brazil—with 70% residing in São Paulo metro area—reducing onboarding costs by R$84,000.</w:t>
      </w:r>
    </w:p>
    <w:bookmarkEnd w:id="23"/>
    <w:bookmarkStart w:id="24" w:name="X10819ccaa16bc88d9b30b4a22bbf24fa595dbfd"/>
    <w:p>
      <w:pPr>
        <w:pStyle w:val="Heading2"/>
      </w:pPr>
      <w:r>
        <w:t xml:space="preserve">V. Case Study: Successful Sales of "University Lecturer" Role</w:t>
      </w:r>
    </w:p>
    <w:p>
      <w:pPr>
        <w:pStyle w:val="FirstParagraph"/>
      </w:pPr>
      <w:r>
        <w:t xml:space="preserve">The recruitment for the *Senior Lecturer in Sustainable Engineering* role exemplifies our sales approach:</w:t>
      </w:r>
    </w:p>
    <w:p>
      <w:pPr>
        <w:numPr>
          <w:ilvl w:val="0"/>
          <w:numId w:val="1003"/>
        </w:numPr>
        <w:pStyle w:val="Compact"/>
      </w:pPr>
      <w:r>
        <w:rPr>
          <w:iCs/>
          <w:i/>
        </w:rPr>
        <w:t xml:space="preserve">Challenge:</w:t>
      </w:r>
      <w:r>
        <w:t xml:space="preserve"> </w:t>
      </w:r>
      <w:r>
        <w:t xml:space="preserve">3-year vacancy at São Paulo campus; previous candidates rejected due to perceived low autonomy.</w:t>
      </w:r>
    </w:p>
    <w:p>
      <w:pPr>
        <w:numPr>
          <w:ilvl w:val="0"/>
          <w:numId w:val="1003"/>
        </w:numPr>
        <w:pStyle w:val="Compact"/>
      </w:pPr>
      <w:r>
        <w:rPr>
          <w:iCs/>
          <w:i/>
        </w:rPr>
        <w:t xml:space="preserve">Sales Strategy:</w:t>
      </w:r>
      <w:r>
        <w:t xml:space="preserve"> </w:t>
      </w:r>
      <w:r>
        <w:t xml:space="preserve">Positioning the role as "Lead Innovator in São Paulo's Green Tech Hub"—highlighting partnerships with Embraer and local sustainability NGOs. We hosted a virtual networking event with top São Paulo industry leaders during Rio de Janeiro’s Climate Week.</w:t>
      </w:r>
    </w:p>
    <w:p>
      <w:pPr>
        <w:numPr>
          <w:ilvl w:val="0"/>
          <w:numId w:val="1003"/>
        </w:numPr>
        <w:pStyle w:val="Compact"/>
      </w:pPr>
      <w:r>
        <w:rPr>
          <w:iCs/>
          <w:i/>
        </w:rPr>
        <w:t xml:space="preserve">Result:</w:t>
      </w:r>
      <w:r>
        <w:t xml:space="preserve"> </w:t>
      </w:r>
      <w:r>
        <w:t xml:space="preserve">42 applicants from Brazil (vs. 11 previously), with the successful candidate (Dr. Ana Silva, USP alumna) accepting an offer within 28 days—accelerating our campus sustainability initiative by 6 months.</w:t>
      </w:r>
    </w:p>
    <w:bookmarkEnd w:id="24"/>
    <w:bookmarkStart w:id="25" w:name="Xd07bc891a8ed4121218079288e1169c05c9b248"/>
    <w:p>
      <w:pPr>
        <w:pStyle w:val="Heading2"/>
      </w:pPr>
      <w:r>
        <w:t xml:space="preserve">VI. Challenges &amp; Solutions: Navigating Brazil São Paulo's Unique Landscape</w:t>
      </w:r>
    </w:p>
    <w:p>
      <w:pPr>
        <w:pStyle w:val="FirstParagraph"/>
      </w:pPr>
      <w:r>
        <w:rPr>
          <w:iCs/>
          <w:i/>
        </w:rPr>
        <w:t xml:space="preserve">Challenge 1:</w:t>
      </w:r>
      <w:r>
        <w:t xml:space="preserve"> </w:t>
      </w:r>
      <w:r>
        <w:t xml:space="preserve">High competition from Brazilian tech firms offering 30% higher salaries for academic talent.</w:t>
      </w:r>
      <w:r>
        <w:br/>
      </w:r>
      <w:r>
        <w:rPr>
          <w:iCs/>
          <w:i/>
        </w:rPr>
        <w:t xml:space="preserve">Solution:</w:t>
      </w:r>
      <w:r>
        <w:t xml:space="preserve"> </w:t>
      </w:r>
      <w:r>
        <w:t xml:space="preserve">We "sold" the lecturer role as a strategic career accelerator—not just a job. Candidates received exclusive access to São Paulo’s Innovation Park (a 25,000-person tech hub) and co-authoring opportunities with our industry partners.</w:t>
      </w:r>
    </w:p>
    <w:p>
      <w:pPr>
        <w:pStyle w:val="BodyText"/>
      </w:pPr>
      <w:r>
        <w:rPr>
          <w:iCs/>
          <w:i/>
        </w:rPr>
        <w:t xml:space="preserve">Challenge 2:</w:t>
      </w:r>
      <w:r>
        <w:t xml:space="preserve"> </w:t>
      </w:r>
      <w:r>
        <w:t xml:space="preserve">Candidate skepticism about remote work policies.</w:t>
      </w:r>
      <w:r>
        <w:br/>
      </w:r>
      <w:r>
        <w:rPr>
          <w:iCs/>
          <w:i/>
        </w:rPr>
        <w:t xml:space="preserve">Solution:</w:t>
      </w:r>
      <w:r>
        <w:t xml:space="preserve"> </w:t>
      </w:r>
      <w:r>
        <w:t xml:space="preserve">We deployed a "São Paulo Campus Immersion" virtual tour showing research labs at USP’s São Paulo campus and the city's academic networking culture (e.g., "Encontros Acadêmicos" meetups).</w:t>
      </w:r>
    </w:p>
    <w:bookmarkEnd w:id="25"/>
    <w:bookmarkStart w:id="26" w:name="Xf7283fc6334b3ae6b88559ffd19c2023b53d3c7"/>
    <w:p>
      <w:pPr>
        <w:pStyle w:val="Heading2"/>
      </w:pPr>
      <w:r>
        <w:t xml:space="preserve">VII. Strategic Recommendations for Future Sales Cycles</w:t>
      </w:r>
    </w:p>
    <w:p>
      <w:pPr>
        <w:numPr>
          <w:ilvl w:val="0"/>
          <w:numId w:val="1004"/>
        </w:numPr>
        <w:pStyle w:val="Compact"/>
      </w:pPr>
      <w:r>
        <w:rPr>
          <w:bCs/>
          <w:b/>
        </w:rPr>
        <w:t xml:space="preserve">Expand Brazil São Paulo Partnerships:</w:t>
      </w:r>
      <w:r>
        <w:t xml:space="preserve"> </w:t>
      </w:r>
      <w:r>
        <w:t xml:space="preserve">Formalize agreements with 5+ São Paulo state universities to share candidate pipelines (e.g., UNESP, PUC-SP).</w:t>
      </w:r>
    </w:p>
    <w:p>
      <w:pPr>
        <w:numPr>
          <w:ilvl w:val="0"/>
          <w:numId w:val="1004"/>
        </w:numPr>
        <w:pStyle w:val="Compact"/>
      </w:pPr>
      <w:r>
        <w:rPr>
          <w:bCs/>
          <w:b/>
        </w:rPr>
        <w:t xml:space="preserve">Leverage Local Events:</w:t>
      </w:r>
      <w:r>
        <w:t xml:space="preserve"> </w:t>
      </w:r>
      <w:r>
        <w:t xml:space="preserve">Secure exhibition booths at major São Paulo academic conferences like the Annual Congress of Brazilian Engineers (CBE).</w:t>
      </w:r>
    </w:p>
    <w:p>
      <w:pPr>
        <w:numPr>
          <w:ilvl w:val="0"/>
          <w:numId w:val="1004"/>
        </w:numPr>
        <w:pStyle w:val="Compact"/>
      </w:pPr>
      <w:r>
        <w:rPr>
          <w:bCs/>
          <w:b/>
        </w:rPr>
        <w:t xml:space="preserve">Cultural Sales Training:</w:t>
      </w:r>
      <w:r>
        <w:t xml:space="preserve"> </w:t>
      </w:r>
      <w:r>
        <w:t xml:space="preserve">Mandatory training for recruiters on Brazilian academic etiquette (e.g., avoiding direct "no" responses, emphasizing relationship-building).</w:t>
      </w:r>
    </w:p>
    <w:p>
      <w:pPr>
        <w:numPr>
          <w:ilvl w:val="0"/>
          <w:numId w:val="1004"/>
        </w:numPr>
        <w:pStyle w:val="Compact"/>
      </w:pPr>
      <w:r>
        <w:rPr>
          <w:bCs/>
          <w:b/>
        </w:rPr>
        <w:t xml:space="preserve">Post-Hire Sales Retention:</w:t>
      </w:r>
      <w:r>
        <w:t xml:space="preserve"> </w:t>
      </w:r>
      <w:r>
        <w:t xml:space="preserve">Implement a "São Paulo Academic Success Program" with monthly networking events to reduce turnover—the city's average lecturer attrition is 22%.</w:t>
      </w:r>
    </w:p>
    <w:bookmarkEnd w:id="26"/>
    <w:bookmarkStart w:id="27" w:name="Xaea0f665d9b144212bd3d7cef68868ee1c30c8d"/>
    <w:p>
      <w:pPr>
        <w:pStyle w:val="Heading2"/>
      </w:pPr>
      <w:r>
        <w:t xml:space="preserve">VIII. Conclusion: The Sales Imperative for University Lecturers in Brazil</w:t>
      </w:r>
    </w:p>
    <w:p>
      <w:pPr>
        <w:pStyle w:val="FirstParagraph"/>
      </w:pPr>
      <w:r>
        <w:t xml:space="preserve">This report demonstrates that recruiting University Lecturer positions in Brazil São Paulo requires treating academic talent acquisition as a high-stakes sales engagement. By understanding São Paulo’s unique academic ecosystem—where institutional prestige, community impact, and industry alignment drive career decisions—we transformed recruitment from a cost center into a growth catalyst. Our success (95% fill rate, 32% above target) validates that "sales" in higher education isn't about pushing roles—it's about strategically positioning the institution as the optimal career destination within Brazil’s most competitive academic market.</w:t>
      </w:r>
    </w:p>
    <w:p>
      <w:pPr>
        <w:pStyle w:val="BodyText"/>
      </w:pPr>
      <w:r>
        <w:t xml:space="preserve">As São Paulo continues to dominate Brazil's educational innovation landscape, this sales model sets a new benchmark for university recruitment. We recommend institutionalizing these practices across all Brazilian campuses to capture 35% more qualified candidates by Q1 2024, directly supporting our mission to make São Paulo the undisputed epicenter of academic excellence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Brazil São Paulo</dc:title>
  <dc:creator/>
  <dc:language>en</dc:language>
  <cp:keywords/>
  <dcterms:created xsi:type="dcterms:W3CDTF">2026-07-24T15:15:24Z</dcterms:created>
  <dcterms:modified xsi:type="dcterms:W3CDTF">2026-07-24T15:15:24Z</dcterms:modified>
</cp:coreProperties>
</file>

<file path=docProps/custom.xml><?xml version="1.0" encoding="utf-8"?>
<Properties xmlns="http://schemas.openxmlformats.org/officeDocument/2006/custom-properties" xmlns:vt="http://schemas.openxmlformats.org/officeDocument/2006/docPropsVTypes"/>
</file>