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Sales</w:t>
      </w:r>
      <w:r>
        <w:t xml:space="preserve"> </w:t>
      </w:r>
      <w:r>
        <w:t xml:space="preserve">Report:</w:t>
      </w:r>
      <w:r>
        <w:t xml:space="preserve"> </w:t>
      </w:r>
      <w:r>
        <w:t xml:space="preserve">Canada</w:t>
      </w:r>
      <w:r>
        <w:t xml:space="preserve"> </w:t>
      </w:r>
      <w:r>
        <w:t xml:space="preserve">Vancouver</w:t>
      </w:r>
      <w:r>
        <w:t xml:space="preserve"> </w:t>
      </w:r>
      <w:r>
        <w:t xml:space="preserve">Academic</w:t>
      </w:r>
      <w:r>
        <w:t xml:space="preserve"> </w:t>
      </w:r>
      <w:r>
        <w:t xml:space="preserve">Recruitment</w:t>
      </w:r>
      <w:r>
        <w:t xml:space="preserve"> </w:t>
      </w:r>
      <w:r>
        <w:t xml:space="preserve">Analysis</w:t>
      </w:r>
    </w:p>
    <w:bookmarkStart w:id="26" w:name="X2ca69f772f67ac04679d806ea9935ad78f408c5"/>
    <w:p>
      <w:pPr>
        <w:pStyle w:val="Heading1"/>
      </w:pPr>
      <w:r>
        <w:t xml:space="preserve">University Lecturer Sales Report: Strategic Recruitment and Market Positioning in Canada Vancouver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Academic Leadership, University of British Columbia (UBC) &amp; Simon Fraser University (SFU) Recruitment Boards</w:t>
      </w:r>
      <w:r>
        <w:br/>
      </w:r>
      <w:r>
        <w:rPr>
          <w:bCs/>
          <w:b/>
        </w:rPr>
        <w:t xml:space="preserve">Report Scope:</w:t>
      </w:r>
      <w:r>
        <w:t xml:space="preserve"> </w:t>
      </w:r>
      <w:r>
        <w:t xml:space="preserve">Sales Performance Analysis for University Lecturer Positions in Canada Vancouver</w:t>
      </w:r>
    </w:p>
    <w:bookmarkStart w:id="20" w:name="X0c3862355d0eb2fb46ae58961cac2a62731a124"/>
    <w:p>
      <w:pPr>
        <w:pStyle w:val="Heading2"/>
      </w:pPr>
      <w:r>
        <w:t xml:space="preserve">I. Executive Summary: The Strategic Imperative of Academic Talent Acquisition</w:t>
      </w:r>
    </w:p>
    <w:p>
      <w:pPr>
        <w:pStyle w:val="FirstParagraph"/>
      </w:pPr>
      <w:r>
        <w:t xml:space="preserve">This Sales Report details the recruitment performance, market dynamics, and strategic positioning for University Lecturer roles across leading institutions in Canada Vancouver. In a fiercely competitive academic landscape where talent acquisition directly impacts educational quality and institutional reputation, this report frames faculty recruitment as a critical "sales" function—where universities "sell" compelling career opportunities to elite educators. The data reveals a 22% year-over-year increase in applicant volume for University Lecturer positions in Canada Vancouver, driven by the region's growing academic demand and global recognition of Canadian higher education. However, conversion rates (offer acceptance) remain at 78%, indicating room for optimization in our value proposition to prospective lecturers.</w:t>
      </w:r>
    </w:p>
    <w:bookmarkEnd w:id="20"/>
    <w:bookmarkStart w:id="21" w:name="X35430a68c27738de9d3f6896155064e3ec71cc2"/>
    <w:p>
      <w:pPr>
        <w:pStyle w:val="Heading2"/>
      </w:pPr>
      <w:r>
        <w:t xml:space="preserve">II. Market Analysis: The Canada Vancouver Academic Talent Landscape</w:t>
      </w:r>
    </w:p>
    <w:p>
      <w:pPr>
        <w:pStyle w:val="FirstParagraph"/>
      </w:pPr>
      <w:r>
        <w:t xml:space="preserve">Canada Vancouver has emerged as a premier destination for global academia due to its exceptional quality of life, research infrastructure, and cultural diversity. Universities across Canada Vancouver—particularly UBC (ranked #30 globally) and SFU (top 150)—face intense competition from institutions in Toronto and international hubs like Singapore and Berlin. Key market insights include:</w:t>
      </w:r>
    </w:p>
    <w:p>
      <w:pPr>
        <w:numPr>
          <w:ilvl w:val="0"/>
          <w:numId w:val="1001"/>
        </w:numPr>
        <w:pStyle w:val="Compact"/>
      </w:pPr>
      <w:r>
        <w:rPr>
          <w:bCs/>
          <w:b/>
        </w:rPr>
        <w:t xml:space="preserve">Salary Benchmarking:</w:t>
      </w:r>
      <w:r>
        <w:t xml:space="preserve"> </w:t>
      </w:r>
      <w:r>
        <w:t xml:space="preserve">University Lecturer compensation in Canada Vancouver now averages $85,000–$95,000 CAD annually (exceeding national averages), but remains below U.S. counterparts for comparable roles. This gap impacts our "sales" competitiveness.</w:t>
      </w:r>
    </w:p>
    <w:p>
      <w:pPr>
        <w:numPr>
          <w:ilvl w:val="0"/>
          <w:numId w:val="1001"/>
        </w:numPr>
        <w:pStyle w:val="Compact"/>
      </w:pPr>
      <w:r>
        <w:rPr>
          <w:bCs/>
          <w:b/>
        </w:rPr>
        <w:t xml:space="preserve">Cost of Living Pressure:</w:t>
      </w:r>
      <w:r>
        <w:t xml:space="preserve"> </w:t>
      </w:r>
      <w:r>
        <w:t xml:space="preserve">Vancouver’s high housing costs (avg. $1,325/month for 1-bedroom) require strategic salary adjustments and relocation packages to secure talent, directly influencing offer acceptance rates in our Canada Vancouver market.</w:t>
      </w:r>
    </w:p>
    <w:p>
      <w:pPr>
        <w:numPr>
          <w:ilvl w:val="0"/>
          <w:numId w:val="1001"/>
        </w:numPr>
        <w:pStyle w:val="Compact"/>
      </w:pPr>
      <w:r>
        <w:rPr>
          <w:bCs/>
          <w:b/>
        </w:rPr>
        <w:t xml:space="preserve">Demographic Shifts:</w:t>
      </w:r>
      <w:r>
        <w:t xml:space="preserve"> </w:t>
      </w:r>
      <w:r>
        <w:t xml:space="preserve">64% of applicants for University Lecturer roles are now international candidates (vs. 48% in 2021), highlighting the need for culturally tailored recruitment messaging targeting global academic communities.</w:t>
      </w:r>
    </w:p>
    <w:bookmarkEnd w:id="21"/>
    <w:bookmarkStart w:id="22" w:name="Xcff39da8a96d799dc0da9568ae8cdeadfa825f7"/>
    <w:p>
      <w:pPr>
        <w:pStyle w:val="Heading2"/>
      </w:pPr>
      <w:r>
        <w:t xml:space="preserve">III. Recruitment Campaign Performance: "Sales" Pipeline Analysis</w:t>
      </w:r>
    </w:p>
    <w:p>
      <w:pPr>
        <w:pStyle w:val="FirstParagraph"/>
      </w:pPr>
      <w:r>
        <w:t xml:space="preserve">This section evaluates our University Lecturer recruitment strategy as a revenue-generating sales process, measuring lead generation, conversion, and retention metrics:</w:t>
      </w:r>
    </w:p>
    <w:p>
      <w:pPr>
        <w:pStyle w:val="BodyText"/>
      </w:pPr>
      <w:r>
        <w:t xml:space="preserve">KPI</w:t>
      </w:r>
    </w:p>
    <w:p>
      <w:pPr>
        <w:pStyle w:val="BodyText"/>
      </w:pPr>
      <w:r>
        <w:t xml:space="preserve">Current Quarter (2023 Q3)</w:t>
      </w:r>
    </w:p>
    <w:p>
      <w:pPr>
        <w:pStyle w:val="BodyText"/>
      </w:pPr>
      <w:r>
        <w:t xml:space="preserve">Q3 2022</w:t>
      </w:r>
    </w:p>
    <w:p>
      <w:pPr>
        <w:pStyle w:val="BodyText"/>
      </w:pPr>
      <w:r>
        <w:t xml:space="preserve">Δ YoY</w:t>
      </w:r>
    </w:p>
    <w:p>
      <w:pPr>
        <w:pStyle w:val="BodyText"/>
      </w:pPr>
      <w:r>
        <w:t xml:space="preserve">Applicants for Lecturer Roles</w:t>
      </w:r>
    </w:p>
    <w:p>
      <w:pPr>
        <w:pStyle w:val="BodyText"/>
      </w:pPr>
      <w:r>
        <w:t xml:space="preserve">1,847</w:t>
      </w:r>
    </w:p>
    <w:p>
      <w:pPr>
        <w:pStyle w:val="BodyText"/>
      </w:pPr>
      <w:r>
        <w:t xml:space="preserve">1,513</w:t>
      </w:r>
    </w:p>
    <w:p>
      <w:pPr>
        <w:pStyle w:val="BodyText"/>
      </w:pPr>
      <w:r>
        <w:t xml:space="preserve">+22.0%</w:t>
      </w:r>
    </w:p>
    <w:p>
      <w:pPr>
        <w:pStyle w:val="BodyText"/>
      </w:pPr>
      <w:r>
        <w:t xml:space="preserve">Interview-to-Offer Rate</w:t>
      </w:r>
    </w:p>
    <w:p>
      <w:pPr>
        <w:pStyle w:val="BodyText"/>
      </w:pPr>
      <w:r>
        <w:t xml:space="preserve">58%</w:t>
      </w:r>
    </w:p>
    <w:p>
      <w:pPr>
        <w:pStyle w:val="BodyText"/>
      </w:pPr>
      <w:r>
        <w:t xml:space="preserve">&lt;</w:t>
      </w:r>
    </w:p>
    <w:p>
      <w:pPr>
        <w:pStyle w:val="BodyText"/>
      </w:pPr>
      <w:r>
        <w:t xml:space="preserve">53%</w:t>
      </w:r>
    </w:p>
    <w:p>
      <w:pPr>
        <w:pStyle w:val="BodyText"/>
      </w:pPr>
      <w:r>
        <w:t xml:space="preserve">Offer Acceptance Rate (Canada Vancouver)</w:t>
      </w:r>
    </w:p>
    <w:p>
      <w:pPr>
        <w:pStyle w:val="BodyText"/>
      </w:pPr>
      <w:r>
        <w:t xml:space="preserve">78%72%&lt; / t d&gt;</w:t>
      </w:r>
    </w:p>
    <w:p>
      <w:pPr>
        <w:pStyle w:val="BodyText"/>
      </w:pPr>
      <w:r>
        <w:t xml:space="preserve">Average Time-to-Hire</w:t>
      </w:r>
    </w:p>
    <w:p>
      <w:pPr>
        <w:pStyle w:val="BodyText"/>
      </w:pPr>
      <w:r>
        <w:t xml:space="preserve">68 days</w:t>
      </w:r>
    </w:p>
    <w:p>
      <w:pPr>
        <w:pStyle w:val="BodyText"/>
      </w:pPr>
      <w:r>
        <w:t xml:space="preserve">79 days</w:t>
      </w:r>
    </w:p>
    <w:p>
      <w:pPr>
        <w:pStyle w:val="BodyText"/>
      </w:pPr>
      <w:r>
        <w:t xml:space="preserve">Notable performance indicators:</w:t>
      </w:r>
    </w:p>
    <w:p>
      <w:pPr>
        <w:numPr>
          <w:ilvl w:val="0"/>
          <w:numId w:val="1002"/>
        </w:numPr>
        <w:pStyle w:val="Compact"/>
      </w:pPr>
      <w:r>
        <w:t xml:space="preserve">The 10% improvement in offer acceptance (72% → 78%) correlates directly with our enhanced "Canada Vancouver" value proposition: emphasizing access to Pacific Rim research networks, subsidized housing partnerships, and Vancouver’s UNESCO City of Film status.</w:t>
      </w:r>
    </w:p>
    <w:p>
      <w:pPr>
        <w:numPr>
          <w:ilvl w:val="0"/>
          <w:numId w:val="1002"/>
        </w:numPr>
        <w:pStyle w:val="Compact"/>
      </w:pPr>
      <w:r>
        <w:t xml:space="preserve">Our social media recruitment campaigns (LinkedIn, Twitter) generated 34% of all leads—proving digital "sales channels" are critical for attracting University Lecturer candidates in Canada’s tech-savvy academic market.</w:t>
      </w:r>
    </w:p>
    <w:p>
      <w:pPr>
        <w:numPr>
          <w:ilvl w:val="0"/>
          <w:numId w:val="1002"/>
        </w:numPr>
        <w:pStyle w:val="Compact"/>
      </w:pPr>
      <w:r>
        <w:t xml:space="preserve">Top-performing departments (e.g., Environmental Science at UBC, Digital Humanities at SFU) achieved 89% offer acceptance rates by personalizing their outreach with Vancouver-specific benefits (e.g., "Access to Coastal Field Research Facilities").</w:t>
      </w:r>
    </w:p>
    <w:bookmarkEnd w:id="22"/>
    <w:bookmarkStart w:id="23" w:name="X2941b91796fd01848a724acfee9c2ff31d20227"/>
    <w:p>
      <w:pPr>
        <w:pStyle w:val="Heading2"/>
      </w:pPr>
      <w:r>
        <w:t xml:space="preserve">IV. Competitive Differentiation: Why Canada Vancouver Wins Talent</w:t>
      </w:r>
    </w:p>
    <w:p>
      <w:pPr>
        <w:pStyle w:val="FirstParagraph"/>
      </w:pPr>
      <w:r>
        <w:t xml:space="preserve">Our Sales Report identifies three unique selling propositions (USPs) that elevate Canada Vancouver’s appeal for University Lecturer roles:</w:t>
      </w:r>
    </w:p>
    <w:p>
      <w:pPr>
        <w:numPr>
          <w:ilvl w:val="0"/>
          <w:numId w:val="1003"/>
        </w:numPr>
        <w:pStyle w:val="Compact"/>
      </w:pPr>
      <w:r>
        <w:rPr>
          <w:bCs/>
          <w:b/>
        </w:rPr>
        <w:t xml:space="preserve">Global Academic Integration:</w:t>
      </w:r>
      <w:r>
        <w:t xml:space="preserve"> </w:t>
      </w:r>
      <w:r>
        <w:t xml:space="preserve">Institutions in Canada Vancouver facilitate seamless collaboration with Pacific Rim universities (e.g., UBC’s partnership with National University of Singapore). This "global network access" is a key differentiator from competitors.</w:t>
      </w:r>
    </w:p>
    <w:p>
      <w:pPr>
        <w:numPr>
          <w:ilvl w:val="0"/>
          <w:numId w:val="1003"/>
        </w:numPr>
        <w:pStyle w:val="Compact"/>
      </w:pPr>
      <w:r>
        <w:rPr>
          <w:bCs/>
          <w:b/>
        </w:rPr>
        <w:t xml:space="preserve">Lifestyle Value Proposition:</w:t>
      </w:r>
      <w:r>
        <w:t xml:space="preserve"> </w:t>
      </w:r>
      <w:r>
        <w:t xml:space="preserve">Marketing materials highlighting Vancouver’s outdoor culture ("Year-round access to mountains, beaches, and urban parks") drove 41% higher engagement in candidate surveys. Lecturers prioritize work-life balance—Canada Vancouver delivers this uniquely.</w:t>
      </w:r>
    </w:p>
    <w:p>
      <w:pPr>
        <w:numPr>
          <w:ilvl w:val="0"/>
          <w:numId w:val="1003"/>
        </w:numPr>
        <w:pStyle w:val="Compact"/>
      </w:pPr>
      <w:r>
        <w:rPr>
          <w:bCs/>
          <w:b/>
        </w:rPr>
        <w:t xml:space="preserve">Government Incentives:</w:t>
      </w:r>
      <w:r>
        <w:t xml:space="preserve"> </w:t>
      </w:r>
      <w:r>
        <w:t xml:space="preserve">As of 2023, the Canadian federal government offers $50K grants for international University Lecturer hires (via the Global Talent Stream), significantly reducing our "cost per hire" and strengthening our sales pitch in Canada Vancouver’s talent market.</w:t>
      </w:r>
    </w:p>
    <w:bookmarkEnd w:id="23"/>
    <w:bookmarkStart w:id="24" w:name="X25f8af32c6982dbad6087454e8c7424072b9006"/>
    <w:p>
      <w:pPr>
        <w:pStyle w:val="Heading2"/>
      </w:pPr>
      <w:r>
        <w:t xml:space="preserve">V. Strategic Recommendations: Optimizing the University Lecturer Sales Funnel</w:t>
      </w:r>
    </w:p>
    <w:p>
      <w:pPr>
        <w:pStyle w:val="FirstParagraph"/>
      </w:pPr>
      <w:r>
        <w:t xml:space="preserve">To sustain momentum in Canada Vancouver’s academic talent market, we recommend immediate action:</w:t>
      </w:r>
    </w:p>
    <w:p>
      <w:pPr>
        <w:numPr>
          <w:ilvl w:val="0"/>
          <w:numId w:val="1004"/>
        </w:numPr>
        <w:pStyle w:val="Compact"/>
      </w:pPr>
      <w:r>
        <w:rPr>
          <w:bCs/>
          <w:b/>
        </w:rPr>
        <w:t xml:space="preserve">Revise Compensation Packages:</w:t>
      </w:r>
      <w:r>
        <w:t xml:space="preserve"> </w:t>
      </w:r>
      <w:r>
        <w:t xml:space="preserve">Implement a 5% salary increase for high-demand disciplines (e.g., AI, Sustainability) to close the gap with U.S. offers—directly improving our offer acceptance "sales" rate in Canada Vancouver.</w:t>
      </w:r>
    </w:p>
    <w:p>
      <w:pPr>
        <w:numPr>
          <w:ilvl w:val="0"/>
          <w:numId w:val="1004"/>
        </w:numPr>
        <w:pStyle w:val="Compact"/>
      </w:pPr>
      <w:r>
        <w:rPr>
          <w:bCs/>
          <w:b/>
        </w:rPr>
        <w:t xml:space="preserve">Create a "Vancouver Experience" Portal:</w:t>
      </w:r>
      <w:r>
        <w:t xml:space="preserve"> </w:t>
      </w:r>
      <w:r>
        <w:t xml:space="preserve">Develop an interactive digital platform showcasing local amenities, family resources, and university-community engagement. This will enhance candidate experience and convert leads faster (target: 15% reduction in time-to-hire).</w:t>
      </w:r>
    </w:p>
    <w:p>
      <w:pPr>
        <w:numPr>
          <w:ilvl w:val="0"/>
          <w:numId w:val="1004"/>
        </w:numPr>
        <w:pStyle w:val="Compact"/>
      </w:pPr>
      <w:r>
        <w:rPr>
          <w:bCs/>
          <w:b/>
        </w:rPr>
        <w:t xml:space="preserve">Leverage Alumni Advocacy:</w:t>
      </w:r>
      <w:r>
        <w:t xml:space="preserve"> </w:t>
      </w:r>
      <w:r>
        <w:t xml:space="preserve">Activate current University Lecturers in Canada Vancouver to share "day-in-the-life" videos on social media, leveraging peer testimonials to boost recruitment authenticity.</w:t>
      </w:r>
    </w:p>
    <w:bookmarkEnd w:id="24"/>
    <w:bookmarkStart w:id="25" w:name="X138e0ad0c2e38fee49081d410dcaae361b82c9d"/>
    <w:p>
      <w:pPr>
        <w:pStyle w:val="Heading2"/>
      </w:pPr>
      <w:r>
        <w:t xml:space="preserve">VI. Conclusion: The Future of Academic Talent Sales in Canada Vancouver</w:t>
      </w:r>
    </w:p>
    <w:p>
      <w:pPr>
        <w:pStyle w:val="FirstParagraph"/>
      </w:pPr>
      <w:r>
        <w:t xml:space="preserve">The data unequivocally demonstrates that successful University Lecturer recruitment in Canada Vancouver requires treating talent acquisition as a strategic sales operation—where institutions "sell" an ecosystem, not just a job. With 85% of top candidates now prioritizing location-specific benefits (e.g., proximity to nature, cultural vibrancy), Canada Vancouver’s unique advantages position us for sustained growth. By doubling down on our localized value proposition and optimizing the recruitment "sales funnel," we will achieve ≥90% offer acceptance rates within 18 months. This is not merely about filling vacancies; it’s about securing Canada Vancouver’s leadership in global academia through purpose-driven talent acquisition.</w:t>
      </w:r>
    </w:p>
    <w:p>
      <w:pPr>
        <w:pStyle w:val="BodyText"/>
      </w:pPr>
      <w:r>
        <w:rPr>
          <w:bCs/>
          <w:b/>
        </w:rPr>
        <w:t xml:space="preserve">Prepared by:</w:t>
      </w:r>
      <w:r>
        <w:t xml:space="preserve"> </w:t>
      </w:r>
      <w:r>
        <w:t xml:space="preserve">Academic Recruitment Strategy Unit, University of British Columbia</w:t>
      </w:r>
      <w:r>
        <w:br/>
      </w:r>
      <w:r>
        <w:rPr>
          <w:bCs/>
          <w:b/>
        </w:rPr>
        <w:t xml:space="preserve">End of Report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Sales Report: Canada Vancouver Academic Recruitment Analysis</dc:title>
  <dc:creator/>
  <cp:keywords/>
  <dcterms:created xsi:type="dcterms:W3CDTF">2026-07-23T16:26:27Z</dcterms:created>
  <dcterms:modified xsi:type="dcterms:W3CDTF">2026-07-23T16:26:27Z</dcterms:modified>
</cp:coreProperties>
</file>

<file path=docProps/custom.xml><?xml version="1.0" encoding="utf-8"?>
<Properties xmlns="http://schemas.openxmlformats.org/officeDocument/2006/custom-properties" xmlns:vt="http://schemas.openxmlformats.org/officeDocument/2006/docPropsVTypes"/>
</file>