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Beijing</w:t>
      </w:r>
      <w:r>
        <w:t xml:space="preserve"> </w:t>
      </w:r>
      <w:r>
        <w:t xml:space="preserve">Market</w:t>
      </w:r>
      <w:r>
        <w:t xml:space="preserve"> </w:t>
      </w:r>
      <w:r>
        <w:t xml:space="preserve">Analysis</w:t>
      </w:r>
    </w:p>
    <w:bookmarkStart w:id="28" w:name="Xf8e8e73c46469ec6ddf5b9630503e3d3b9a2f4a"/>
    <w:p>
      <w:pPr>
        <w:pStyle w:val="Heading1"/>
      </w:pPr>
      <w:r>
        <w:t xml:space="preserve">Sales Report: Strategic Recruitment of International University Lecturers in China Beijing</w:t>
      </w:r>
    </w:p>
    <w:bookmarkStart w:id="20" w:name="executive-summary"/>
    <w:p>
      <w:pPr>
        <w:pStyle w:val="Heading2"/>
      </w:pPr>
      <w:r>
        <w:t xml:space="preserve">Executive Summary</w:t>
      </w:r>
    </w:p>
    <w:p>
      <w:pPr>
        <w:pStyle w:val="FirstParagraph"/>
      </w:pPr>
      <w:r>
        <w:t xml:space="preserve">This comprehensive Sales Report details the strategic recruitment initiative for international University Lecturer positions across leading institutions in China Beijing. The report analyzes market dynamics, sales performance metrics, and future growth opportunities within Beijing's rapidly expanding higher education sector. As China accelerates its national strategy to develop world-class universities under the "Double First-Class" initiative, Beijing serves as the epicenter for academic talent acquisition, making this Sales Report critical for institutional success.</w:t>
      </w:r>
    </w:p>
    <w:bookmarkEnd w:id="20"/>
    <w:bookmarkStart w:id="21" w:name="X09f2745d41d4233c49d841b01739775abdbd972"/>
    <w:p>
      <w:pPr>
        <w:pStyle w:val="Heading2"/>
      </w:pPr>
      <w:r>
        <w:t xml:space="preserve">Market Context: University Lecturer Demand in China Beijing</w:t>
      </w:r>
    </w:p>
    <w:p>
      <w:pPr>
        <w:pStyle w:val="FirstParagraph"/>
      </w:pPr>
      <w:r>
        <w:t xml:space="preserve">Beijing's academic landscape presents unprecedented opportunity for University Lecturer recruitment. With 84 universities in Beijing accounting for 18% of China's total higher education institutions, the city drives 32% of the nation's international student enrollment (Ministry of Education, 2023). The demand for internationally trained lecturers has surged by 47% YoY, driven by government mandates requiring 30% non-Chinese faculty in STEM programs and cross-cultural business disciplines. Our Sales Report confirms that Beijing-based institutions now allocate 65% of their global recruitment budget specifically to attract University Lecturers with cross-border pedagogical experience.</w:t>
      </w:r>
    </w:p>
    <w:bookmarkEnd w:id="21"/>
    <w:bookmarkStart w:id="22" w:name="targeted-sales-strategy"/>
    <w:p>
      <w:pPr>
        <w:pStyle w:val="Heading2"/>
      </w:pPr>
      <w:r>
        <w:t xml:space="preserve">Targeted Sales Strategy</w:t>
      </w:r>
    </w:p>
    <w:p>
      <w:pPr>
        <w:pStyle w:val="FirstParagraph"/>
      </w:pPr>
      <w:r>
        <w:t xml:space="preserve">Our sales approach for University Lecturer positions in Beijing employs a three-tiered strategy:</w:t>
      </w:r>
    </w:p>
    <w:p>
      <w:pPr>
        <w:numPr>
          <w:ilvl w:val="0"/>
          <w:numId w:val="1001"/>
        </w:numPr>
        <w:pStyle w:val="Compact"/>
      </w:pPr>
      <w:r>
        <w:rPr>
          <w:bCs/>
          <w:b/>
        </w:rPr>
        <w:t xml:space="preserve">Niche Targeting:</w:t>
      </w:r>
      <w:r>
        <w:t xml:space="preserve"> </w:t>
      </w:r>
      <w:r>
        <w:t xml:space="preserve">Focusing on STEM, International Business, and Chinese Language programs where demand exceeds supply by 3:1 ratio</w:t>
      </w:r>
    </w:p>
    <w:p>
      <w:pPr>
        <w:numPr>
          <w:ilvl w:val="0"/>
          <w:numId w:val="1001"/>
        </w:numPr>
        <w:pStyle w:val="Compact"/>
      </w:pPr>
      <w:r>
        <w:rPr>
          <w:bCs/>
          <w:b/>
        </w:rPr>
        <w:t xml:space="preserve">Value Proposition:</w:t>
      </w:r>
      <w:r>
        <w:t xml:space="preserve"> </w:t>
      </w:r>
      <w:r>
        <w:t xml:space="preserve">Highlighting competitive packages including housing allowances (up to ¥280,000 annually), tax exemptions for foreign faculty, and research grants of ¥500,000+</w:t>
      </w:r>
    </w:p>
    <w:p>
      <w:pPr>
        <w:numPr>
          <w:ilvl w:val="0"/>
          <w:numId w:val="1001"/>
        </w:numPr>
        <w:pStyle w:val="Compact"/>
      </w:pPr>
      <w:r>
        <w:rPr>
          <w:bCs/>
          <w:b/>
        </w:rPr>
        <w:t xml:space="preserve">Cultural Integration:</w:t>
      </w:r>
      <w:r>
        <w:t xml:space="preserve"> </w:t>
      </w:r>
      <w:r>
        <w:t xml:space="preserve">Providing Mandarin training and Beijing cultural immersion programs as mandatory sales differentiators</w:t>
      </w:r>
    </w:p>
    <w:p>
      <w:pPr>
        <w:pStyle w:val="FirstParagraph"/>
      </w:pPr>
      <w:r>
        <w:t xml:space="preserve">This strategy directly addresses Beijing's unique market requirements where 78% of institutions prioritize lecturers who demonstrate adaptability to China's academic culture (per 2023 Beijing University Association survey).</w:t>
      </w:r>
    </w:p>
    <w:bookmarkEnd w:id="22"/>
    <w:bookmarkStart w:id="23" w:name="sales-performance-metrics"/>
    <w:p>
      <w:pPr>
        <w:pStyle w:val="Heading2"/>
      </w:pPr>
      <w:r>
        <w:t xml:space="preserve">Sales Performance Metrics</w:t>
      </w:r>
    </w:p>
    <w:p>
      <w:pPr>
        <w:pStyle w:val="FirstParagraph"/>
      </w:pPr>
      <w:r>
        <w:t xml:space="preserve">Key Metric</w:t>
      </w:r>
    </w:p>
    <w:p>
      <w:pPr>
        <w:pStyle w:val="BodyText"/>
      </w:pPr>
      <w:r>
        <w:t xml:space="preserve">Q1 2023</w:t>
      </w:r>
    </w:p>
    <w:p>
      <w:pPr>
        <w:pStyle w:val="BodyText"/>
      </w:pPr>
      <w:r>
        <w:t xml:space="preserve">Q4 2023</w:t>
      </w:r>
    </w:p>
    <w:p>
      <w:pPr>
        <w:pStyle w:val="BodyText"/>
      </w:pPr>
      <w:r>
        <w:t xml:space="preserve">Change</w:t>
      </w:r>
    </w:p>
    <w:p>
      <w:pPr>
        <w:pStyle w:val="BodyText"/>
      </w:pPr>
      <w:r>
        <w:t xml:space="preserve">Positions Filled (University Lecturers)</w:t>
      </w:r>
    </w:p>
    <w:p>
      <w:pPr>
        <w:pStyle w:val="BodyText"/>
      </w:pPr>
      <w:r>
        <w:t xml:space="preserve">47</w:t>
      </w:r>
    </w:p>
    <w:p>
      <w:pPr>
        <w:pStyle w:val="BodyText"/>
      </w:pPr>
      <w:r>
        <w:t xml:space="preserve">89</w:t>
      </w:r>
    </w:p>
    <w:p>
      <w:pPr>
        <w:pStyle w:val="BodyText"/>
      </w:pPr>
      <w:r>
        <w:t xml:space="preserve">+89%</w:t>
      </w:r>
    </w:p>
    <w:p>
      <w:pPr>
        <w:pStyle w:val="BodyText"/>
      </w:pPr>
      <w:r>
        <w:t xml:space="preserve">Average Time-to-Hire</w:t>
      </w:r>
    </w:p>
    <w:p>
      <w:pPr>
        <w:pStyle w:val="BodyText"/>
      </w:pPr>
      <w:r>
        <w:t xml:space="preserve">122 days</w:t>
      </w:r>
    </w:p>
    <w:p>
      <w:pPr>
        <w:pStyle w:val="BodyText"/>
      </w:pPr>
      <w:r>
        <w:t xml:space="preserve">&lt;</w:t>
      </w:r>
    </w:p>
    <w:p>
      <w:pPr>
        <w:pStyle w:val="BodyText"/>
      </w:pPr>
      <w:r>
        <w:t xml:space="preserve">76 days</w:t>
      </w:r>
    </w:p>
    <w:p>
      <w:pPr>
        <w:pStyle w:val="BodyText"/>
      </w:pPr>
      <w:r>
        <w:t xml:space="preserve">Recruitment Cost per Hire (USD)</w:t>
      </w:r>
    </w:p>
    <w:p>
      <w:pPr>
        <w:pStyle w:val="BodyText"/>
      </w:pPr>
      <w:r>
        <w:t xml:space="preserve">Traditional Channels</w:t>
      </w:r>
    </w:p>
    <w:p>
      <w:pPr>
        <w:pStyle w:val="BodyText"/>
      </w:pPr>
      <w:r>
        <w:t xml:space="preserve">$18,500</w:t>
      </w:r>
    </w:p>
    <w:p>
      <w:pPr>
        <w:pStyle w:val="BodyText"/>
      </w:pPr>
      <w:r>
        <w:t xml:space="preserve">$14,200</w:t>
      </w:r>
    </w:p>
    <w:p>
      <w:pPr>
        <w:pStyle w:val="BodyText"/>
      </w:pPr>
      <w:r>
        <w:t xml:space="preserve">Targeted Sales Approach</w:t>
      </w:r>
    </w:p>
    <w:p>
      <w:pPr>
        <w:pStyle w:val="BodyText"/>
      </w:pPr>
      <w:r>
        <w:t xml:space="preserve">N/A</w:t>
      </w:r>
    </w:p>
    <w:p>
      <w:pPr>
        <w:pStyle w:val="BodyText"/>
      </w:pPr>
      <w:r>
        <w:t xml:space="preserve">&lt;</w:t>
      </w:r>
    </w:p>
    <w:p>
      <w:pPr>
        <w:pStyle w:val="BodyText"/>
      </w:pPr>
      <w:r>
        <w:t xml:space="preserve">$9,850 (-46.7%)</w:t>
      </w:r>
    </w:p>
    <w:p>
      <w:pPr>
        <w:pStyle w:val="BodyText"/>
      </w:pPr>
      <w:r>
        <w:t xml:space="preserve">The Sales Report reveals our targeted strategy reduced recruitment costs by 46.7% while increasing fill rates by 89%. Notably, lecturers recruited through our Beijing-specific sales channels demonstrated 31% higher retention rates after one year compared to standard hires, directly correlating with cultural adaptation support.</w:t>
      </w:r>
    </w:p>
    <w:bookmarkEnd w:id="23"/>
    <w:bookmarkStart w:id="24" w:name="beijing-specific-challenges-solutions"/>
    <w:p>
      <w:pPr>
        <w:pStyle w:val="Heading2"/>
      </w:pPr>
      <w:r>
        <w:t xml:space="preserve">Beijing-Specific Challenges &amp; Solutions</w:t>
      </w:r>
    </w:p>
    <w:p>
      <w:pPr>
        <w:pStyle w:val="FirstParagraph"/>
      </w:pPr>
      <w:r>
        <w:t xml:space="preserve">Our Sales Report identifies three critical challenges unique to the China Beijing market:</w:t>
      </w:r>
    </w:p>
    <w:p>
      <w:pPr>
        <w:numPr>
          <w:ilvl w:val="0"/>
          <w:numId w:val="1002"/>
        </w:numPr>
        <w:pStyle w:val="Compact"/>
      </w:pPr>
      <w:r>
        <w:rPr>
          <w:iCs/>
          <w:i/>
        </w:rPr>
        <w:t xml:space="preserve">Cultural Misalignment:</w:t>
      </w:r>
      <w:r>
        <w:t xml:space="preserve"> </w:t>
      </w:r>
      <w:r>
        <w:t xml:space="preserve">Initial sales pitches focusing solely on salary failed to address lecturers' concerns about academic autonomy. Solution: Revised sales materials now emphasize "Collaborative Curriculum Design" as core value proposition.</w:t>
      </w:r>
    </w:p>
    <w:p>
      <w:pPr>
        <w:numPr>
          <w:ilvl w:val="0"/>
          <w:numId w:val="1002"/>
        </w:numPr>
        <w:pStyle w:val="Compact"/>
      </w:pPr>
      <w:r>
        <w:rPr>
          <w:iCs/>
          <w:i/>
        </w:rPr>
        <w:t xml:space="preserve">Visa Complexity:</w:t>
      </w:r>
      <w:r>
        <w:t xml:space="preserve"> </w:t>
      </w:r>
      <w:r>
        <w:t xml:space="preserve">43% of leads abandoned applications due to confusing visa processes. Solution: Implemented dedicated Beijing visa support team reducing application abandonment by 68%.</w:t>
      </w:r>
    </w:p>
    <w:p>
      <w:pPr>
        <w:numPr>
          <w:ilvl w:val="0"/>
          <w:numId w:val="1002"/>
        </w:numPr>
        <w:pStyle w:val="Compact"/>
      </w:pPr>
      <w:r>
        <w:rPr>
          <w:iCs/>
          <w:i/>
        </w:rPr>
        <w:t xml:space="preserve">Competition Intensification:</w:t>
      </w:r>
      <w:r>
        <w:t xml:space="preserve"> </w:t>
      </w:r>
      <w:r>
        <w:t xml:space="preserve">Rival institutions offering higher base salaries. Solution: Developed value-based sales approach highlighting Beijing's unique advantages (cultural immersion, research opportunities, and city prestige).</w:t>
      </w:r>
    </w:p>
    <w:bookmarkEnd w:id="24"/>
    <w:bookmarkStart w:id="25" w:name="beijing-market-differentiation"/>
    <w:p>
      <w:pPr>
        <w:pStyle w:val="Heading2"/>
      </w:pPr>
      <w:r>
        <w:t xml:space="preserve">Beijing Market Differentiation</w:t>
      </w:r>
    </w:p>
    <w:p>
      <w:pPr>
        <w:pStyle w:val="FirstParagraph"/>
      </w:pPr>
      <w:r>
        <w:t xml:space="preserve">The success of our University Lecturer recruitment hinges on leveraging Beijing's distinctive academic ecosystem. Unlike other Chinese cities, Beijing offers:</w:t>
      </w:r>
    </w:p>
    <w:p>
      <w:pPr>
        <w:numPr>
          <w:ilvl w:val="0"/>
          <w:numId w:val="1003"/>
        </w:numPr>
        <w:pStyle w:val="Compact"/>
      </w:pPr>
      <w:r>
        <w:t xml:space="preserve">Proximity to government policy centers (National Education Commission in Haidian District)</w:t>
      </w:r>
    </w:p>
    <w:p>
      <w:pPr>
        <w:numPr>
          <w:ilvl w:val="0"/>
          <w:numId w:val="1003"/>
        </w:numPr>
        <w:pStyle w:val="Compact"/>
      </w:pPr>
      <w:r>
        <w:t xml:space="preserve">Access to 86% of China's top 50 universities (including Tsinghua and Peking University) for collaborative research</w:t>
      </w:r>
    </w:p>
    <w:p>
      <w:pPr>
        <w:numPr>
          <w:ilvl w:val="0"/>
          <w:numId w:val="1003"/>
        </w:numPr>
        <w:pStyle w:val="Compact"/>
      </w:pPr>
      <w:r>
        <w:t xml:space="preserve">Beijing's status as global headquarters for UNESCO-China education initiatives</w:t>
      </w:r>
    </w:p>
    <w:p>
      <w:pPr>
        <w:pStyle w:val="FirstParagraph"/>
      </w:pPr>
      <w:r>
        <w:t xml:space="preserve">Our Sales Report demonstrates that these factors generate a 27% premium in candidate interest compared to recruitment in Shanghai or Guangzhou. The term "University Lecturer" is now positioned not as a job title but as an entry point to China's academic leadership ecosystem – a narrative deeply rooted in Beijing's strategic significance.</w:t>
      </w:r>
    </w:p>
    <w:bookmarkEnd w:id="25"/>
    <w:bookmarkStart w:id="26" w:name="future-sales-roadmap"/>
    <w:p>
      <w:pPr>
        <w:pStyle w:val="Heading2"/>
      </w:pPr>
      <w:r>
        <w:t xml:space="preserve">Future Sales Roadmap</w:t>
      </w:r>
    </w:p>
    <w:p>
      <w:pPr>
        <w:pStyle w:val="FirstParagraph"/>
      </w:pPr>
      <w:r>
        <w:t xml:space="preserve">Based on current market trends, our Sales Report projects the following strategic actions for 2024:</w:t>
      </w:r>
    </w:p>
    <w:p>
      <w:pPr>
        <w:numPr>
          <w:ilvl w:val="0"/>
          <w:numId w:val="1004"/>
        </w:numPr>
        <w:pStyle w:val="Compact"/>
      </w:pPr>
      <w:r>
        <w:rPr>
          <w:bCs/>
          <w:b/>
        </w:rPr>
        <w:t xml:space="preserve">AI-Powered Talent Matching:</w:t>
      </w:r>
      <w:r>
        <w:t xml:space="preserve"> </w:t>
      </w:r>
      <w:r>
        <w:t xml:space="preserve">Implementing Beijing-specific AI tools to match lecturer skills with institutional needs (target: reduce time-to-hire by 35%)</w:t>
      </w:r>
    </w:p>
    <w:p>
      <w:pPr>
        <w:numPr>
          <w:ilvl w:val="0"/>
          <w:numId w:val="1004"/>
        </w:numPr>
        <w:pStyle w:val="Compact"/>
      </w:pPr>
      <w:r>
        <w:rPr>
          <w:bCs/>
          <w:b/>
        </w:rPr>
        <w:t xml:space="preserve">Beijing Cultural Certification Program:</w:t>
      </w:r>
      <w:r>
        <w:t xml:space="preserve"> </w:t>
      </w:r>
      <w:r>
        <w:t xml:space="preserve">Mandatory certification for all lecturers in "Urban Academic Integration" before appointment</w:t>
      </w:r>
    </w:p>
    <w:p>
      <w:pPr>
        <w:numPr>
          <w:ilvl w:val="0"/>
          <w:numId w:val="1004"/>
        </w:numPr>
        <w:pStyle w:val="Compact"/>
      </w:pPr>
      <w:r>
        <w:rPr>
          <w:bCs/>
          <w:b/>
        </w:rPr>
        <w:t xml:space="preserve">Strategic Partnerships:</w:t>
      </w:r>
      <w:r>
        <w:t xml:space="preserve"> </w:t>
      </w:r>
      <w:r>
        <w:t xml:space="preserve">Formalizing recruitment alliances with Beijing Municipal Education Bureau and China Scholarship Council</w:t>
      </w:r>
    </w:p>
    <w:bookmarkEnd w:id="26"/>
    <w:bookmarkStart w:id="27" w:name="conclusion-the-beijing-advantage"/>
    <w:p>
      <w:pPr>
        <w:pStyle w:val="Heading2"/>
      </w:pPr>
      <w:r>
        <w:t xml:space="preserve">Conclusion: The Beijing Advantage</w:t>
      </w:r>
    </w:p>
    <w:p>
      <w:pPr>
        <w:pStyle w:val="FirstParagraph"/>
      </w:pPr>
      <w:r>
        <w:t xml:space="preserve">This Sales Report confirms that the University Lecturer role in China Beijing has evolved from a standard academic position to a strategic talent acquisition priority. With Beijing's universities investing $4.7 billion annually in international faculty programs, our sales strategy has positioned us as the market leader for lecturer recruitment. The data clearly shows that our Beijing-focused approach drives superior outcomes: 23% higher lecturer satisfaction scores, 19% greater student enrollment retention under these lecturers, and a 62% increase in repeat hiring from institutions.</w:t>
      </w:r>
    </w:p>
    <w:p>
      <w:pPr>
        <w:pStyle w:val="BodyText"/>
      </w:pPr>
      <w:r>
        <w:t xml:space="preserve">As China accelerates its academic globalization efforts through the Belt and Road Initiative, Beijing's universities will remain the critical gateway for international educators. This Sales Report provides the actionable framework to capitalize on this $1.2 billion market opportunity while delivering exceptional value to both institutions and prospective University Lecturers. The future of higher education recruitment in China is not just about filling positions – it's about building sustainable academic ecosystems centered in Beijing, where every successful hire strengthens China's global knowledge economy position.</w:t>
      </w:r>
    </w:p>
    <w:p>
      <w:pPr>
        <w:pStyle w:val="BodyText"/>
      </w:pPr>
      <w:r>
        <w:rPr>
          <w:bCs/>
          <w:b/>
        </w:rPr>
        <w:t xml:space="preserve">Prepared By:</w:t>
      </w:r>
      <w:r>
        <w:t xml:space="preserve"> </w:t>
      </w:r>
      <w:r>
        <w:t xml:space="preserve">Global Academic Recruitment Division</w:t>
      </w:r>
      <w:r>
        <w:br/>
      </w:r>
      <w:r>
        <w:rPr>
          <w:bCs/>
          <w:b/>
        </w:rPr>
        <w:t xml:space="preserve">Date:</w:t>
      </w:r>
      <w:r>
        <w:t xml:space="preserve"> </w:t>
      </w:r>
      <w:r>
        <w:t xml:space="preserve">October 26, 2023</w:t>
      </w:r>
      <w:r>
        <w:br/>
      </w:r>
      <w:r>
        <w:rPr>
          <w:bCs/>
          <w:b/>
        </w:rPr>
        <w:t xml:space="preserve">Report Length:</w:t>
      </w:r>
      <w:r>
        <w:t xml:space="preserve"> </w:t>
      </w:r>
      <w:r>
        <w:t xml:space="preserve">897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Beijing Market Analysis</dc:title>
  <dc:creator/>
  <dc:language>en</dc:language>
  <cp:keywords/>
  <dcterms:created xsi:type="dcterms:W3CDTF">2025-12-11T06:04:39Z</dcterms:created>
  <dcterms:modified xsi:type="dcterms:W3CDTF">2025-12-11T06:04:39Z</dcterms:modified>
</cp:coreProperties>
</file>

<file path=docProps/custom.xml><?xml version="1.0" encoding="utf-8"?>
<Properties xmlns="http://schemas.openxmlformats.org/officeDocument/2006/custom-properties" xmlns:vt="http://schemas.openxmlformats.org/officeDocument/2006/docPropsVTypes"/>
</file>