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Performance</w:t>
      </w:r>
      <w:r>
        <w:t xml:space="preserve"> </w:t>
      </w:r>
      <w:r>
        <w:t xml:space="preserve">Report:</w:t>
      </w:r>
      <w:r>
        <w:t xml:space="preserve"> </w:t>
      </w:r>
      <w:r>
        <w:t xml:space="preserve">Colombia</w:t>
      </w:r>
      <w:r>
        <w:t xml:space="preserve"> </w:t>
      </w:r>
      <w:r>
        <w:t xml:space="preserve">Bogotá</w:t>
      </w:r>
    </w:p>
    <w:bookmarkStart w:id="31" w:name="X436ff6dc558063dd67e2606260cb0ce4cbc7665"/>
    <w:p>
      <w:pPr>
        <w:pStyle w:val="Heading1"/>
      </w:pPr>
      <w:r>
        <w:t xml:space="preserve">University Lecturer Sales Performance Report: Colombia Bogotá Market Analysis</w:t>
      </w:r>
    </w:p>
    <w:bookmarkStart w:id="20" w:name="executive-summary"/>
    <w:p>
      <w:pPr>
        <w:pStyle w:val="Heading2"/>
      </w:pPr>
      <w:r>
        <w:t xml:space="preserve">Executive Summary</w:t>
      </w:r>
    </w:p>
    <w:p>
      <w:pPr>
        <w:pStyle w:val="FirstParagraph"/>
      </w:pPr>
      <w:r>
        <w:t xml:space="preserve">This comprehensive Sales Report details the recruitment and market performance of University Lecturer positions across higher education institutions in Bogotá, Colombia. Covering Q3 2023 to Q1 2024, this analysis demonstrates how strategic positioning of academic roles has driven enrollment growth and institutional reputation within Colombia's educational landscape. The report confirms that effective "sales" of University Lecturer opportunities directly correlates with academic program expansion in Bogotá's competitive university sector.</w:t>
      </w:r>
    </w:p>
    <w:bookmarkEnd w:id="20"/>
    <w:bookmarkStart w:id="21" w:name="X4f46b9e45fb60729d0f0df8b714272ff8641879"/>
    <w:p>
      <w:pPr>
        <w:pStyle w:val="Heading2"/>
      </w:pPr>
      <w:r>
        <w:t xml:space="preserve">Market Context: Colombia Bogotá Education Sector Overview</w:t>
      </w:r>
    </w:p>
    <w:p>
      <w:pPr>
        <w:pStyle w:val="FirstParagraph"/>
      </w:pPr>
      <w:r>
        <w:t xml:space="preserve">Bogotá, as Colombia's academic capital housing 35% of the nation's higher education institutions, represents a critical market for University Lecturer recruitment. With over 1.2 million university students across 74 institutions (National Higher Education Council, 2023), Bogotá requires continuous influx of qualified lecturers to maintain educational quality amid rising student enrollment by 8.7% annually. The "sales" of lecturer positions must address two key imperatives: competitive compensation packages and alignment with Colombia's new National Education Policy emphasizing STEM and digital literacy integration.</w:t>
      </w:r>
    </w:p>
    <w:bookmarkEnd w:id="21"/>
    <w:bookmarkStart w:id="22" w:name="recruitment-strategy-as-a-sales-process"/>
    <w:p>
      <w:pPr>
        <w:pStyle w:val="Heading2"/>
      </w:pPr>
      <w:r>
        <w:t xml:space="preserve">Recruitment Strategy as a Sales Process</w:t>
      </w:r>
    </w:p>
    <w:p>
      <w:pPr>
        <w:pStyle w:val="FirstParagraph"/>
      </w:pPr>
      <w:r>
        <w:t xml:space="preserve">This report reframes University Lecturer recruitment as a specialized sales engagement where institutions "sell" academic positions to prospective faculty. In Bogotá, this involves:</w:t>
      </w:r>
    </w:p>
    <w:p>
      <w:pPr>
        <w:numPr>
          <w:ilvl w:val="0"/>
          <w:numId w:val="1001"/>
        </w:numPr>
        <w:pStyle w:val="Compact"/>
      </w:pPr>
      <w:r>
        <w:rPr>
          <w:bCs/>
          <w:b/>
        </w:rPr>
        <w:t xml:space="preserve">Value Proposition Development:</w:t>
      </w:r>
      <w:r>
        <w:t xml:space="preserve"> </w:t>
      </w:r>
      <w:r>
        <w:t xml:space="preserve">Highlighting institutional prestige (e.g., Universidad Nacional de Colombia's 32nd global ranking), research grants (averaging $15,000 per lecturer annually), and Colombia's tax incentives for academia</w:t>
      </w:r>
    </w:p>
    <w:p>
      <w:pPr>
        <w:numPr>
          <w:ilvl w:val="0"/>
          <w:numId w:val="1001"/>
        </w:numPr>
        <w:pStyle w:val="Compact"/>
      </w:pPr>
      <w:r>
        <w:rPr>
          <w:bCs/>
          <w:b/>
        </w:rPr>
        <w:t xml:space="preserve">Targeted Outreach:</w:t>
      </w:r>
      <w:r>
        <w:t xml:space="preserve"> </w:t>
      </w:r>
      <w:r>
        <w:t xml:space="preserve">Using LinkedIn recruitment campaigns with Colombian keywords ("Profesor Universitario Bogotá") reaching 98% of top universities in the capital</w:t>
      </w:r>
    </w:p>
    <w:p>
      <w:pPr>
        <w:numPr>
          <w:ilvl w:val="0"/>
          <w:numId w:val="1001"/>
        </w:numPr>
        <w:pStyle w:val="Compact"/>
      </w:pPr>
      <w:r>
        <w:rPr>
          <w:bCs/>
          <w:b/>
        </w:rPr>
        <w:t xml:space="preserve">Sales Cycle Optimization:</w:t>
      </w:r>
      <w:r>
        <w:t xml:space="preserve"> </w:t>
      </w:r>
      <w:r>
        <w:t xml:space="preserve">Reducing time-to-hire from 112 to 67 days through pre-vetting candidate portfolios aligned with Bogotá's academic priorities</w:t>
      </w:r>
    </w:p>
    <w:bookmarkEnd w:id="22"/>
    <w:bookmarkStart w:id="23" w:name="Xbf5a8499b301f0a4ef8d77b739b633aae40da25"/>
    <w:p>
      <w:pPr>
        <w:pStyle w:val="Heading2"/>
      </w:pPr>
      <w:r>
        <w:t xml:space="preserve">Performance Metrics: Sales Report Highlights</w:t>
      </w:r>
    </w:p>
    <w:p>
      <w:pPr>
        <w:pStyle w:val="FirstParagraph"/>
      </w:pPr>
      <w:r>
        <w:t xml:space="preserve">KPI</w:t>
      </w:r>
    </w:p>
    <w:p>
      <w:pPr>
        <w:pStyle w:val="BodyText"/>
      </w:pPr>
      <w:r>
        <w:t xml:space="preserve">Q3 2023</w:t>
      </w:r>
    </w:p>
    <w:p>
      <w:pPr>
        <w:pStyle w:val="BodyText"/>
      </w:pPr>
      <w:r>
        <w:t xml:space="preserve">Q4 2023</w:t>
      </w:r>
    </w:p>
    <w:p>
      <w:pPr>
        <w:pStyle w:val="BodyText"/>
      </w:pPr>
      <w:r>
        <w:t xml:space="preserve">Q1 2024</w:t>
      </w:r>
    </w:p>
    <w:p>
      <w:pPr>
        <w:pStyle w:val="BodyText"/>
      </w:pPr>
      <w:r>
        <w:t xml:space="preserve">Trend vs. Bogotá Average</w:t>
      </w:r>
    </w:p>
    <w:p>
      <w:pPr>
        <w:pStyle w:val="BodyText"/>
      </w:pPr>
      <w:r>
        <w:t xml:space="preserve">Positions Filled (University Lecturer)</w:t>
      </w:r>
    </w:p>
    <w:p>
      <w:pPr>
        <w:pStyle w:val="BodyText"/>
      </w:pPr>
      <w:r>
        <w:t xml:space="preserve">87</w:t>
      </w:r>
    </w:p>
    <w:p>
      <w:pPr>
        <w:pStyle w:val="BodyText"/>
      </w:pPr>
      <w:r>
        <w:t xml:space="preserve">103</w:t>
      </w:r>
    </w:p>
    <w:p>
      <w:pPr>
        <w:pStyle w:val="BodyText"/>
      </w:pPr>
      <w:r>
        <w:t xml:space="preserve">124</w:t>
      </w:r>
    </w:p>
    <w:p>
      <w:pPr>
        <w:pStyle w:val="BodyText"/>
      </w:pPr>
      <w:r>
        <w:t xml:space="preserve">+29% vs. Bogotá benchmark</w:t>
      </w:r>
    </w:p>
    <w:p>
      <w:pPr>
        <w:pStyle w:val="BodyText"/>
      </w:pPr>
      <w:r>
        <w:t xml:space="preserve">Average Time-to-Hire (Days)</w:t>
      </w:r>
    </w:p>
    <w:p>
      <w:pPr>
        <w:pStyle w:val="BodyText"/>
      </w:pPr>
      <w:r>
        <w:t xml:space="preserve">&lt;</w:t>
      </w:r>
    </w:p>
    <w:p>
      <w:pPr>
        <w:pStyle w:val="BodyText"/>
      </w:pPr>
      <w:r>
        <w:t xml:space="preserve">112</w:t>
      </w:r>
    </w:p>
    <w:p>
      <w:pPr>
        <w:pStyle w:val="BodyText"/>
      </w:pPr>
      <w:r>
        <w:t xml:space="preserve">&lt;</w:t>
      </w:r>
    </w:p>
    <w:p>
      <w:pPr>
        <w:pStyle w:val="BodyText"/>
      </w:pPr>
      <w:r>
        <w:t xml:space="preserve">89</w:t>
      </w:r>
    </w:p>
    <w:p>
      <w:pPr>
        <w:pStyle w:val="BodyText"/>
      </w:pPr>
      <w:r>
        <w:t xml:space="preserve">67</w:t>
      </w:r>
    </w:p>
    <w:p>
      <w:pPr>
        <w:pStyle w:val="BodyText"/>
      </w:pPr>
      <w:r>
        <w:t xml:space="preserve">-40% improvement</w:t>
      </w:r>
    </w:p>
    <w:p>
      <w:pPr>
        <w:pStyle w:val="BodyText"/>
      </w:pPr>
      <w:r>
        <w:t xml:space="preserve">Candidate Quality Score (1-5)</w:t>
      </w:r>
    </w:p>
    <w:p>
      <w:pPr>
        <w:pStyle w:val="BodyText"/>
      </w:pPr>
      <w:r>
        <w:t xml:space="preserve">&lt;</w:t>
      </w:r>
    </w:p>
    <w:p>
      <w:pPr>
        <w:pStyle w:val="BodyText"/>
      </w:pPr>
      <w:r>
        <w:t xml:space="preserve">3.7</w:t>
      </w:r>
    </w:p>
    <w:p>
      <w:pPr>
        <w:pStyle w:val="BodyText"/>
      </w:pPr>
      <w:r>
        <w:t xml:space="preserve">&lt;</w:t>
      </w:r>
    </w:p>
    <w:p>
      <w:pPr>
        <w:pStyle w:val="BodyText"/>
      </w:pPr>
      <w:r>
        <w:t xml:space="preserve">4.2</w:t>
      </w:r>
    </w:p>
    <w:p>
      <w:pPr>
        <w:pStyle w:val="BodyText"/>
      </w:pPr>
      <w:r>
        <w:t xml:space="preserve">4.5</w:t>
      </w:r>
    </w:p>
    <w:p>
      <w:pPr>
        <w:pStyle w:val="BodyText"/>
      </w:pPr>
      <w:r>
        <w:t xml:space="preserve">Bogotá Market Share Gain</w:t>
      </w:r>
    </w:p>
    <w:p>
      <w:pPr>
        <w:pStyle w:val="BodyText"/>
      </w:pPr>
      <w:r>
        <w:t xml:space="preserve">&lt;</w:t>
      </w:r>
    </w:p>
    <w:p>
      <w:pPr>
        <w:pStyle w:val="BodyText"/>
      </w:pPr>
      <w:r>
        <w:t xml:space="preserve">-0.8%</w:t>
      </w:r>
    </w:p>
    <w:p>
      <w:pPr>
        <w:pStyle w:val="BodyText"/>
      </w:pPr>
      <w:r>
        <w:t xml:space="preserve">+1.2%</w:t>
      </w:r>
    </w:p>
    <w:p>
      <w:pPr>
        <w:pStyle w:val="BodyText"/>
      </w:pPr>
      <w:r>
        <w:t xml:space="preserve">The sales pipeline demonstrates exceptional conversion: 47% of qualified applicants (from Bogotá-based academic networks) accepted offers within 7 business days—surpassing the national average of 32%. Key drivers included transparent salary structures ($1,850 USD monthly base + research stipend), flexible remote teaching options for Bogotá commuters, and Colombia's "Educación de Calidad" certification recognition.</w:t>
      </w:r>
    </w:p>
    <w:bookmarkEnd w:id="23"/>
    <w:bookmarkStart w:id="26" w:name="Xd49d1c4f6195162b49c0857a21cd119b3674d78"/>
    <w:p>
      <w:pPr>
        <w:pStyle w:val="Heading2"/>
      </w:pPr>
      <w:r>
        <w:t xml:space="preserve">Regional Sales Performance: Colombia Bogotá Specifics</w:t>
      </w:r>
    </w:p>
    <w:p>
      <w:pPr>
        <w:pStyle w:val="FirstParagraph"/>
      </w:pPr>
      <w:r>
        <w:t xml:space="preserve">Bogotá's unique market dynamics required tailored sales approaches:</w:t>
      </w:r>
    </w:p>
    <w:bookmarkStart w:id="24" w:name="competition-analysis"/>
    <w:p>
      <w:pPr>
        <w:pStyle w:val="Heading3"/>
      </w:pPr>
      <w:r>
        <w:t xml:space="preserve">1. Competition Analysis</w:t>
      </w:r>
    </w:p>
    <w:p>
      <w:pPr>
        <w:pStyle w:val="FirstParagraph"/>
      </w:pPr>
      <w:r>
        <w:t xml:space="preserve">In Bogotá, 68% of University Lecturer roles compete with private institutions (e.g., Universidad de los Andes) offering 22% higher salaries. Our "sales" strategy countered this through:</w:t>
      </w:r>
    </w:p>
    <w:p>
      <w:pPr>
        <w:numPr>
          <w:ilvl w:val="0"/>
          <w:numId w:val="1002"/>
        </w:numPr>
        <w:pStyle w:val="Compact"/>
      </w:pPr>
      <w:r>
        <w:t xml:space="preserve">Emphasizing Colombia's new tax benefits for public university lecturers (30% income reduction)</w:t>
      </w:r>
    </w:p>
    <w:p>
      <w:pPr>
        <w:numPr>
          <w:ilvl w:val="0"/>
          <w:numId w:val="1002"/>
        </w:numPr>
        <w:pStyle w:val="Compact"/>
      </w:pPr>
      <w:r>
        <w:t xml:space="preserve">Creating Bogotá-specific value: On-campus childcare centers (reducing 23% of faculty relocation barriers)</w:t>
      </w:r>
    </w:p>
    <w:p>
      <w:pPr>
        <w:numPr>
          <w:ilvl w:val="0"/>
          <w:numId w:val="1002"/>
        </w:numPr>
        <w:pStyle w:val="Compact"/>
      </w:pPr>
      <w:r>
        <w:t xml:space="preserve">Cultural alignment: Highlighting Bogotá's academic community events (e.g., "Semana de la Investigación" at Universidad Javeriana)</w:t>
      </w:r>
    </w:p>
    <w:bookmarkEnd w:id="24"/>
    <w:bookmarkStart w:id="25" w:name="candidate-acquisition-channels"/>
    <w:p>
      <w:pPr>
        <w:pStyle w:val="Heading3"/>
      </w:pPr>
      <w:r>
        <w:t xml:space="preserve">2. Candidate Acquisition Channels</w:t>
      </w:r>
    </w:p>
    <w:p>
      <w:pPr>
        <w:pStyle w:val="FirstParagraph"/>
      </w:pPr>
      <w:r>
        <w:t xml:space="preserve">Top-performing sales channels in Colombia Bogotá:</w:t>
      </w:r>
    </w:p>
    <w:p>
      <w:pPr>
        <w:numPr>
          <w:ilvl w:val="0"/>
          <w:numId w:val="1003"/>
        </w:numPr>
        <w:pStyle w:val="Compact"/>
      </w:pPr>
      <w:r>
        <w:rPr>
          <w:bCs/>
          <w:b/>
        </w:rPr>
        <w:t xml:space="preserve">Institutional Partnerships (42% of hires):</w:t>
      </w:r>
      <w:r>
        <w:t xml:space="preserve"> </w:t>
      </w:r>
      <w:r>
        <w:t xml:space="preserve">Collaborations with Bogotá's Academic Network (Red Académica de Bogotá) generated 67 qualified leads/quarter</w:t>
      </w:r>
    </w:p>
    <w:p>
      <w:pPr>
        <w:numPr>
          <w:ilvl w:val="0"/>
          <w:numId w:val="1003"/>
        </w:numPr>
        <w:pStyle w:val="Compact"/>
      </w:pPr>
      <w:r>
        <w:rPr>
          <w:bCs/>
          <w:b/>
        </w:rPr>
        <w:t xml:space="preserve">Social Media Targeting (31%):</w:t>
      </w:r>
      <w:r>
        <w:t xml:space="preserve"> </w:t>
      </w:r>
      <w:r>
        <w:t xml:space="preserve">LinkedIn campaigns using Colombia-specific keywords ("Docente Universitario Bogotá") yielding 8.4x higher engagement than national campaigns</w:t>
      </w:r>
    </w:p>
    <w:p>
      <w:pPr>
        <w:numPr>
          <w:ilvl w:val="0"/>
          <w:numId w:val="1003"/>
        </w:numPr>
        <w:pStyle w:val="Compact"/>
      </w:pPr>
      <w:r>
        <w:rPr>
          <w:bCs/>
          <w:b/>
        </w:rPr>
        <w:t xml:space="preserve">Alumni Referrals (27%):</w:t>
      </w:r>
      <w:r>
        <w:t xml:space="preserve"> </w:t>
      </w:r>
      <w:r>
        <w:t xml:space="preserve">Leveraging Bogotá's strong university alumni networks (e.g., U. de los Andes, EAFIT) for trusted candidate referrals</w:t>
      </w:r>
    </w:p>
    <w:bookmarkEnd w:id="25"/>
    <w:bookmarkEnd w:id="26"/>
    <w:bookmarkStart w:id="27" w:name="key-success-factors-in-bogotá-market"/>
    <w:p>
      <w:pPr>
        <w:pStyle w:val="Heading2"/>
      </w:pPr>
      <w:r>
        <w:t xml:space="preserve">Key Success Factors in Bogotá Market</w:t>
      </w:r>
    </w:p>
    <w:p>
      <w:pPr>
        <w:pStyle w:val="FirstParagraph"/>
      </w:pPr>
      <w:r>
        <w:t xml:space="preserve">The report identifies three non-negotiable elements for successful University Lecturer "sales" in Colombia Bogotá:</w:t>
      </w:r>
    </w:p>
    <w:p>
      <w:pPr>
        <w:numPr>
          <w:ilvl w:val="0"/>
          <w:numId w:val="1004"/>
        </w:numPr>
        <w:pStyle w:val="Compact"/>
      </w:pPr>
      <w:r>
        <w:rPr>
          <w:bCs/>
          <w:b/>
        </w:rPr>
        <w:t xml:space="preserve">Cultural Resonance:</w:t>
      </w:r>
      <w:r>
        <w:t xml:space="preserve"> </w:t>
      </w:r>
      <w:r>
        <w:t xml:space="preserve">Candidates prioritize institutions aligned with Bogotá's academic identity (e.g., 89% preferred universities with active community engagement initiatives)</w:t>
      </w:r>
    </w:p>
    <w:p>
      <w:pPr>
        <w:numPr>
          <w:ilvl w:val="0"/>
          <w:numId w:val="1004"/>
        </w:numPr>
        <w:pStyle w:val="Compact"/>
      </w:pPr>
      <w:r>
        <w:rPr>
          <w:bCs/>
          <w:b/>
        </w:rPr>
        <w:t xml:space="preserve">Location Optimization:</w:t>
      </w:r>
      <w:r>
        <w:t xml:space="preserve"> </w:t>
      </w:r>
      <w:r>
        <w:t xml:space="preserve">Positions offering hybrid teaching models (Bogotá campus + remote options) saw 65% higher acceptance rates than fully on-site roles</w:t>
      </w:r>
    </w:p>
    <w:p>
      <w:pPr>
        <w:numPr>
          <w:ilvl w:val="0"/>
          <w:numId w:val="1004"/>
        </w:numPr>
        <w:pStyle w:val="Compact"/>
      </w:pPr>
      <w:r>
        <w:rPr>
          <w:bCs/>
          <w:b/>
        </w:rPr>
        <w:t xml:space="preserve">Policy Alignment:</w:t>
      </w:r>
      <w:r>
        <w:t xml:space="preserve"> </w:t>
      </w:r>
      <w:r>
        <w:t xml:space="preserve">Lecturer roles explicitly tied to Colombia's National Education Plan (2023-2030) attracted 76% of high-quality applicants</w:t>
      </w:r>
    </w:p>
    <w:bookmarkEnd w:id="27"/>
    <w:bookmarkStart w:id="28" w:name="challenges-and-strategic-adjustments"/>
    <w:p>
      <w:pPr>
        <w:pStyle w:val="Heading2"/>
      </w:pPr>
      <w:r>
        <w:t xml:space="preserve">Challenges and Strategic Adjustments</w:t>
      </w:r>
    </w:p>
    <w:p>
      <w:pPr>
        <w:pStyle w:val="FirstParagraph"/>
      </w:pPr>
      <w:r>
        <w:t xml:space="preserve">Bogotá-specific challenges required agile sales tactics:</w:t>
      </w:r>
    </w:p>
    <w:p>
      <w:pPr>
        <w:numPr>
          <w:ilvl w:val="0"/>
          <w:numId w:val="1005"/>
        </w:numPr>
        <w:pStyle w:val="Compact"/>
      </w:pPr>
      <w:r>
        <w:rPr>
          <w:iCs/>
          <w:i/>
        </w:rPr>
        <w:t xml:space="preserve">Transportation Costs:</w:t>
      </w:r>
      <w:r>
        <w:t xml:space="preserve"> </w:t>
      </w:r>
      <w:r>
        <w:t xml:space="preserve">Introduced Bogotá Transit Subsidies (covering 40% of public transport costs) to counter high commute expenses in the capital city</w:t>
      </w:r>
    </w:p>
    <w:p>
      <w:pPr>
        <w:numPr>
          <w:ilvl w:val="0"/>
          <w:numId w:val="1005"/>
        </w:numPr>
        <w:pStyle w:val="Compact"/>
      </w:pPr>
      <w:r>
        <w:rPr>
          <w:iCs/>
          <w:i/>
        </w:rPr>
        <w:t xml:space="preserve">Cultural Mismatch:</w:t>
      </w:r>
      <w:r>
        <w:t xml:space="preserve"> </w:t>
      </w:r>
      <w:r>
        <w:t xml:space="preserve">Developed pre-interview "Bogotá Immersion" workshops for out-of-region candidates, improving retention by 31%</w:t>
      </w:r>
    </w:p>
    <w:p>
      <w:pPr>
        <w:numPr>
          <w:ilvl w:val="0"/>
          <w:numId w:val="1005"/>
        </w:numPr>
        <w:pStyle w:val="Compact"/>
      </w:pPr>
      <w:r>
        <w:rPr>
          <w:iCs/>
          <w:i/>
        </w:rPr>
        <w:t xml:space="preserve">Competition Intensification:</w:t>
      </w:r>
      <w:r>
        <w:t xml:space="preserve"> </w:t>
      </w:r>
      <w:r>
        <w:t xml:space="preserve">Launched "Bogotá Academic Excellence" awards recognizing lecturer contributions to Colombia's education sector</w:t>
      </w:r>
    </w:p>
    <w:bookmarkEnd w:id="28"/>
    <w:bookmarkStart w:id="29" w:name="X292b8af38de0f6cf3c41476a3589d91b3416c8b"/>
    <w:p>
      <w:pPr>
        <w:pStyle w:val="Heading2"/>
      </w:pPr>
      <w:r>
        <w:t xml:space="preserve">Future Sales Roadmap: Colombia Bogotá Focus</w:t>
      </w:r>
    </w:p>
    <w:p>
      <w:pPr>
        <w:pStyle w:val="FirstParagraph"/>
      </w:pPr>
      <w:r>
        <w:t xml:space="preserve">Based on Q1 2024 performance, the following initiatives will drive University Lecturer sales growth in Bogotá:</w:t>
      </w:r>
    </w:p>
    <w:p>
      <w:pPr>
        <w:numPr>
          <w:ilvl w:val="0"/>
          <w:numId w:val="1006"/>
        </w:numPr>
        <w:pStyle w:val="Compact"/>
      </w:pPr>
      <w:r>
        <w:rPr>
          <w:bCs/>
          <w:b/>
        </w:rPr>
        <w:t xml:space="preserve">Predictive Demand Modeling:</w:t>
      </w:r>
      <w:r>
        <w:t xml:space="preserve"> </w:t>
      </w:r>
      <w:r>
        <w:t xml:space="preserve">Using Bogotá enrollment data to forecast lecturer needs 8 months ahead (projected 15% cost reduction in recruitment)</w:t>
      </w:r>
    </w:p>
    <w:p>
      <w:pPr>
        <w:numPr>
          <w:ilvl w:val="0"/>
          <w:numId w:val="1006"/>
        </w:numPr>
        <w:pStyle w:val="Compact"/>
      </w:pPr>
      <w:r>
        <w:rPr>
          <w:bCs/>
          <w:b/>
        </w:rPr>
        <w:t xml:space="preserve">Bogotá Faculty Ambassadors Program:</w:t>
      </w:r>
      <w:r>
        <w:t xml:space="preserve"> </w:t>
      </w:r>
      <w:r>
        <w:t xml:space="preserve">Training current lecturers to recruit within their networks, targeting 50+ new ambassadors by Q3 2024</w:t>
      </w:r>
    </w:p>
    <w:p>
      <w:pPr>
        <w:numPr>
          <w:ilvl w:val="0"/>
          <w:numId w:val="1006"/>
        </w:numPr>
        <w:pStyle w:val="Compact"/>
      </w:pPr>
      <w:r>
        <w:rPr>
          <w:bCs/>
          <w:b/>
        </w:rPr>
        <w:t xml:space="preserve">Policy-Driven Sales Messaging:</w:t>
      </w:r>
      <w:r>
        <w:t xml:space="preserve"> </w:t>
      </w:r>
      <w:r>
        <w:t xml:space="preserve">Aligning all "sales" materials with Colombia's new education tax codes and Bogotá-specific funding opportunities</w:t>
      </w:r>
    </w:p>
    <w:bookmarkEnd w:id="29"/>
    <w:bookmarkStart w:id="30" w:name="X1b7b422b06d452a5c5d49453327039c695a51d1"/>
    <w:p>
      <w:pPr>
        <w:pStyle w:val="Heading2"/>
      </w:pPr>
      <w:r>
        <w:t xml:space="preserve">Conclusion: The Strategic Value of University Lecturer Sales in Colombia Bogotá</w:t>
      </w:r>
    </w:p>
    <w:p>
      <w:pPr>
        <w:pStyle w:val="FirstParagraph"/>
      </w:pPr>
      <w:r>
        <w:t xml:space="preserve">This Sales Report unequivocally demonstrates that successful recruitment of University Lecturers is not merely an HR function but a strategic growth driver for Colombia's education sector. In Bogotá—where academic quality directly impacts national educational outcomes—the ability to "sell" lecturer positions effectively determines institutional competitiveness. The data confirms that institutions prioritizing Bogotá-specific sales strategies achieve 27% higher faculty retention and 34% greater program enrollment growth.</w:t>
      </w:r>
    </w:p>
    <w:p>
      <w:pPr>
        <w:pStyle w:val="BodyText"/>
      </w:pPr>
      <w:r>
        <w:t xml:space="preserve">As Colombia's education landscape evolves, the University Lecturer role transitions from a traditional academic position to a pivotal revenue-generating asset. For institutions in Colombia Bogotá, mastering this sales process isn't optional—it's essential for maintaining regional leadership and advancing national educational objectives. The metrics presented here provide a blueprint for sustainable growth through strategic lecturer recruitment that resonates with Colombia's academic community.</w:t>
      </w:r>
    </w:p>
    <w:p>
      <w:pPr>
        <w:pStyle w:val="BodyText"/>
      </w:pPr>
      <w:r>
        <w:rPr>
          <w:bCs/>
          <w:b/>
        </w:rPr>
        <w:t xml:space="preserve">Prepared by:</w:t>
      </w:r>
      <w:r>
        <w:t xml:space="preserve"> </w:t>
      </w:r>
      <w:r>
        <w:t xml:space="preserve">Bogotá Academic Solutions Division</w:t>
      </w:r>
      <w:r>
        <w:br/>
      </w:r>
      <w:r>
        <w:rPr>
          <w:bCs/>
          <w:b/>
        </w:rPr>
        <w:t xml:space="preserve">Date:</w:t>
      </w:r>
      <w:r>
        <w:t xml:space="preserve"> </w:t>
      </w:r>
      <w:r>
        <w:t xml:space="preserve">February 28, 2024</w:t>
      </w:r>
      <w:r>
        <w:br/>
      </w:r>
      <w:r>
        <w:rPr>
          <w:bCs/>
          <w:b/>
        </w:rPr>
        <w:t xml:space="preserve">Report Version:</w:t>
      </w:r>
      <w:r>
        <w:t xml:space="preserve"> </w:t>
      </w:r>
      <w:r>
        <w:t xml:space="preserve">1.3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Performance Report: Colombia Bogotá</dc:title>
  <dc:creator/>
  <dc:language>en</dc:language>
  <cp:keywords/>
  <dcterms:created xsi:type="dcterms:W3CDTF">2026-07-24T05:17:20Z</dcterms:created>
  <dcterms:modified xsi:type="dcterms:W3CDTF">2026-07-24T05:17:20Z</dcterms:modified>
</cp:coreProperties>
</file>

<file path=docProps/custom.xml><?xml version="1.0" encoding="utf-8"?>
<Properties xmlns="http://schemas.openxmlformats.org/officeDocument/2006/custom-properties" xmlns:vt="http://schemas.openxmlformats.org/officeDocument/2006/docPropsVTypes"/>
</file>