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Campus</w:t>
      </w:r>
    </w:p>
    <w:bookmarkStart w:id="27" w:name="Xfce84668ee18a3eb914b9e4d348891ccd89cd11"/>
    <w:p>
      <w:pPr>
        <w:pStyle w:val="Heading1"/>
      </w:pPr>
      <w:r>
        <w:t xml:space="preserve">Sales Report for University Lecturer Recruitment at Cairo Campus, Egypt</w:t>
      </w:r>
    </w:p>
    <w:p>
      <w:pPr>
        <w:pStyle w:val="FirstParagraph"/>
      </w:pPr>
      <w:r>
        <w:t xml:space="preserve">Prepared for Institutional Leadership | Q3 2023 | Cairo, Egypt</w:t>
      </w:r>
    </w:p>
    <w:bookmarkStart w:id="20" w:name="executive-summary"/>
    <w:p>
      <w:pPr>
        <w:pStyle w:val="Heading2"/>
      </w:pPr>
      <w:r>
        <w:t xml:space="preserve">Executive Summary</w:t>
      </w:r>
    </w:p>
    <w:p>
      <w:pPr>
        <w:pStyle w:val="FirstParagraph"/>
      </w:pPr>
      <w:r>
        <w:t xml:space="preserve">This comprehensive sales report details the recruitment performance for University Lecturer positions across our Cairo campus in Egypt. As a pivotal institution serving over 12,000 students across engineering, business, and humanities programs, our lecturer recruitment strategy directly impacts academic quality and institutional reputation. The current quarter demonstrated exceptional progress in filling critical teaching roles through targeted outreach to Egyptian academic talent pools. We achieved a 92% placement rate for advertised positions with an average applicant-to-hire ratio of 7:1 – significantly outperforming national benchmarks for Egyptian higher education institutions.</w:t>
      </w:r>
    </w:p>
    <w:bookmarkEnd w:id="20"/>
    <w:bookmarkStart w:id="21" w:name="Xec748f2697ce52090ad41d0ce40857e688e0cda"/>
    <w:p>
      <w:pPr>
        <w:pStyle w:val="Heading2"/>
      </w:pPr>
      <w:r>
        <w:t xml:space="preserve">Strategic Recruitment Framework in Egypt Cairo</w:t>
      </w:r>
    </w:p>
    <w:p>
      <w:pPr>
        <w:pStyle w:val="FirstParagraph"/>
      </w:pPr>
      <w:r>
        <w:t xml:space="preserve">Our sales approach for lecturer recruitment aligns with Egypt's Ministry of Higher Education's strategic priorities for academic excellence. In Cairo – the nation's education capital hosting 43% of Egypt's universities – we implemented a multi-channel engagement strategy specifically designed for the Egyptian academic market. This included:</w:t>
      </w:r>
    </w:p>
    <w:p>
      <w:pPr>
        <w:numPr>
          <w:ilvl w:val="0"/>
          <w:numId w:val="1001"/>
        </w:numPr>
        <w:pStyle w:val="Compact"/>
      </w:pPr>
      <w:r>
        <w:rPr>
          <w:bCs/>
          <w:b/>
        </w:rPr>
        <w:t xml:space="preserve">University Partnership Network:</w:t>
      </w:r>
      <w:r>
        <w:t xml:space="preserve"> </w:t>
      </w:r>
      <w:r>
        <w:t xml:space="preserve">Direct collaboration with Cairo University, AUC, and Helwan University to source qualified candidates through formal memorandum agreements.</w:t>
      </w:r>
    </w:p>
    <w:p>
      <w:pPr>
        <w:numPr>
          <w:ilvl w:val="0"/>
          <w:numId w:val="1001"/>
        </w:numPr>
        <w:pStyle w:val="Compact"/>
      </w:pPr>
      <w:r>
        <w:rPr>
          <w:bCs/>
          <w:b/>
        </w:rPr>
        <w:t xml:space="preserve">Digital Talent Acquisition Platform:</w:t>
      </w:r>
      <w:r>
        <w:t xml:space="preserve"> </w:t>
      </w:r>
      <w:r>
        <w:t xml:space="preserve">Localization of our recruitment portal for Arabic speakers with SMS-based application support for candidates in rural Egypt (addressing connectivity challenges).</w:t>
      </w:r>
    </w:p>
    <w:p>
      <w:pPr>
        <w:numPr>
          <w:ilvl w:val="0"/>
          <w:numId w:val="1001"/>
        </w:numPr>
        <w:pStyle w:val="Compact"/>
      </w:pPr>
      <w:r>
        <w:rPr>
          <w:bCs/>
          <w:b/>
        </w:rPr>
        <w:t xml:space="preserve">Cairo Academic Conferences:</w:t>
      </w:r>
      <w:r>
        <w:t xml:space="preserve"> </w:t>
      </w:r>
      <w:r>
        <w:t xml:space="preserve">Strategic participation in 12+ regional education events including the Egyptian University Leadership Summit and Cairo International Education Fair.</w:t>
      </w:r>
    </w:p>
    <w:bookmarkEnd w:id="21"/>
    <w:bookmarkStart w:id="22" w:name="performance-metrics-market-analysis"/>
    <w:p>
      <w:pPr>
        <w:pStyle w:val="Heading2"/>
      </w:pPr>
      <w:r>
        <w:t xml:space="preserve">Performance Metrics &amp; Market Analysis</w:t>
      </w:r>
    </w:p>
    <w:p>
      <w:pPr>
        <w:pStyle w:val="FirstParagraph"/>
      </w:pPr>
      <w:r>
        <w:t xml:space="preserve">Our Q3 performance reveals critical insights about the Egypt Cairo lecturer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Result</w:t>
            </w:r>
          </w:p>
        </w:tc>
        <w:tc>
          <w:tcPr/>
          <w:p>
            <w:pPr>
              <w:pStyle w:val="Compact"/>
              <w:jc w:val="left"/>
            </w:pPr>
            <w:r>
              <w:t xml:space="preserve">Egypt National Avg.</w:t>
            </w:r>
          </w:p>
        </w:tc>
      </w:tr>
      <w:tr>
        <w:tc>
          <w:tcPr/>
          <w:p>
            <w:pPr>
              <w:pStyle w:val="Compact"/>
              <w:jc w:val="left"/>
            </w:pPr>
            <w:r>
              <w:t xml:space="preserve">Positions Filled</w:t>
            </w:r>
          </w:p>
        </w:tc>
        <w:tc>
          <w:tcPr/>
          <w:p>
            <w:pPr>
              <w:pStyle w:val="Compact"/>
              <w:jc w:val="left"/>
            </w:pPr>
            <w:r>
              <w:t xml:space="preserve">47 of 51 (92%)</w:t>
            </w:r>
          </w:p>
        </w:tc>
        <w:tc>
          <w:tcPr/>
          <w:p>
            <w:pPr>
              <w:pStyle w:val="Compact"/>
              <w:jc w:val="left"/>
            </w:pPr>
            <w:r>
              <w:t xml:space="preserve">68%</w:t>
            </w:r>
          </w:p>
        </w:tc>
      </w:tr>
      <w:tr>
        <w:tc>
          <w:tcPr/>
          <w:p>
            <w:pPr>
              <w:pStyle w:val="Compact"/>
              <w:jc w:val="left"/>
            </w:pPr>
            <w:r>
              <w:t xml:space="preserve">Time-to-Hire (Days)</w:t>
            </w:r>
          </w:p>
        </w:tc>
        <w:tc>
          <w:tcPr/>
          <w:p>
            <w:pPr>
              <w:pStyle w:val="Compact"/>
              <w:jc w:val="left"/>
            </w:pPr>
            <w:r>
              <w:t xml:space="preserve">34 days</w:t>
            </w:r>
          </w:p>
        </w:tc>
        <w:tc>
          <w:tcPr/>
          <w:p>
            <w:pPr>
              <w:pStyle w:val="Compact"/>
              <w:jc w:val="left"/>
            </w:pPr>
            <w:r>
              <w:t xml:space="preserve">57 days</w:t>
            </w:r>
          </w:p>
        </w:tc>
      </w:tr>
      <w:tr>
        <w:tc>
          <w:tcPr/>
          <w:p>
            <w:pPr>
              <w:pStyle w:val="Compact"/>
              <w:jc w:val="left"/>
            </w:pPr>
            <w:r>
              <w:t xml:space="preserve">Retention Rate (3mo)</w:t>
            </w:r>
          </w:p>
        </w:tc>
        <w:tc>
          <w:tcPr/>
          <w:p>
            <w:pPr>
              <w:pStyle w:val="Compact"/>
              <w:jc w:val="left"/>
            </w:pPr>
            <w:r>
              <w:t xml:space="preserve">89%</w:t>
            </w:r>
          </w:p>
        </w:tc>
        <w:tc>
          <w:tcPr/>
          <w:p>
            <w:pPr>
              <w:pStyle w:val="Compact"/>
              <w:jc w:val="left"/>
            </w:pPr>
            <w:r>
              <w:t xml:space="preserve">76%</w:t>
            </w:r>
          </w:p>
        </w:tc>
      </w:tr>
    </w:tbl>
    <w:p>
      <w:pPr>
        <w:pStyle w:val="BodyText"/>
      </w:pPr>
      <w:r>
        <w:t xml:space="preserve">Notably, our success in Cairo stems from understanding the unique market dynamics. The Egyptian academic sector faces a 28% lecturer vacancy rate nationwide (Ministry of Higher Education Report 2023), with Cairo experiencing the highest demand due to its concentration of educational institutions. Our sales approach specifically targeted candidates seeking competitive compensation packages – including housing allowances and research grants – which align with local expectations for university lecturers in Egypt.</w:t>
      </w:r>
    </w:p>
    <w:bookmarkEnd w:id="22"/>
    <w:bookmarkStart w:id="23" w:name="X74efab45ba3c584ec927a50b44248a0de0f98d0"/>
    <w:p>
      <w:pPr>
        <w:pStyle w:val="Heading2"/>
      </w:pPr>
      <w:r>
        <w:t xml:space="preserve">Case Study: Successful Cairo Campus Recruitment Drive</w:t>
      </w:r>
    </w:p>
    <w:p>
      <w:pPr>
        <w:pStyle w:val="FirstParagraph"/>
      </w:pPr>
      <w:r>
        <w:t xml:space="preserve">Our recruitment of Business Administration lecturers in Q3 exemplifies our effective strategy. By partnering with the Egyptian Economic Association and hosting a specialized career fair at Cairo's International Conference Center, we attracted 147 qualified applicants for 8 positions. Key differentiators included:</w:t>
      </w:r>
    </w:p>
    <w:p>
      <w:pPr>
        <w:numPr>
          <w:ilvl w:val="0"/>
          <w:numId w:val="1002"/>
        </w:numPr>
        <w:pStyle w:val="Compact"/>
      </w:pPr>
      <w:r>
        <w:rPr>
          <w:bCs/>
          <w:b/>
        </w:rPr>
        <w:t xml:space="preserve">Localized Onboarding:</w:t>
      </w:r>
      <w:r>
        <w:t xml:space="preserve"> </w:t>
      </w:r>
      <w:r>
        <w:t xml:space="preserve">Pre-departure cultural training and Arabic language support for international candidates</w:t>
      </w:r>
    </w:p>
    <w:p>
      <w:pPr>
        <w:numPr>
          <w:ilvl w:val="0"/>
          <w:numId w:val="1002"/>
        </w:numPr>
        <w:pStyle w:val="Compact"/>
      </w:pPr>
      <w:r>
        <w:rPr>
          <w:bCs/>
          <w:b/>
        </w:rPr>
        <w:t xml:space="preserve">Competitive Compensation Package:</w:t>
      </w:r>
      <w:r>
        <w:t xml:space="preserve"> </w:t>
      </w:r>
      <w:r>
        <w:t xml:space="preserve">Salary structure benchmarked against Egypt's top universities with housing subsidies (critical in high-cost Cairo markets)</w:t>
      </w:r>
    </w:p>
    <w:p>
      <w:pPr>
        <w:numPr>
          <w:ilvl w:val="0"/>
          <w:numId w:val="1002"/>
        </w:numPr>
        <w:pStyle w:val="Compact"/>
      </w:pPr>
      <w:r>
        <w:rPr>
          <w:bCs/>
          <w:b/>
        </w:rPr>
        <w:t xml:space="preserve">Cairo Community Integration:</w:t>
      </w:r>
      <w:r>
        <w:t xml:space="preserve"> </w:t>
      </w:r>
      <w:r>
        <w:t xml:space="preserve">Guaranteed inclusion in the university's cultural exchange programs</w:t>
      </w:r>
    </w:p>
    <w:p>
      <w:pPr>
        <w:pStyle w:val="FirstParagraph"/>
      </w:pPr>
      <w:r>
        <w:t xml:space="preserve">This initiative resulted in a 42% increase in qualified applicants compared to Q2, with 100% of hires reporting high satisfaction with our Cairo campus recruitment process. The success directly contributed to our Business School achieving a 35% rise in student enrollment for the Fall semester.</w:t>
      </w:r>
    </w:p>
    <w:bookmarkEnd w:id="23"/>
    <w:bookmarkStart w:id="24" w:name="challenges-strategic-adjustments"/>
    <w:p>
      <w:pPr>
        <w:pStyle w:val="Heading2"/>
      </w:pPr>
      <w:r>
        <w:t xml:space="preserve">Challenges &amp; Strategic Adjustments</w:t>
      </w:r>
    </w:p>
    <w:p>
      <w:pPr>
        <w:pStyle w:val="FirstParagraph"/>
      </w:pPr>
      <w:r>
        <w:t xml:space="preserve">Despite strong results, we identified critical challenges specific to the Egypt Cairo market:</w:t>
      </w:r>
    </w:p>
    <w:p>
      <w:pPr>
        <w:numPr>
          <w:ilvl w:val="0"/>
          <w:numId w:val="1003"/>
        </w:numPr>
        <w:pStyle w:val="Compact"/>
      </w:pPr>
      <w:r>
        <w:rPr>
          <w:bCs/>
          <w:b/>
        </w:rPr>
        <w:t xml:space="preserve">Geographic Competition:</w:t>
      </w:r>
      <w:r>
        <w:t xml:space="preserve"> </w:t>
      </w:r>
      <w:r>
        <w:t xml:space="preserve">Intense rivalry for lecturers with private universities in New Cairo and Giza. Our sales team now implements targeted competitive intelligence on salary benchmarks.</w:t>
      </w:r>
    </w:p>
    <w:p>
      <w:pPr>
        <w:numPr>
          <w:ilvl w:val="0"/>
          <w:numId w:val="1003"/>
        </w:numPr>
        <w:pStyle w:val="Compact"/>
      </w:pPr>
      <w:r>
        <w:rPr>
          <w:bCs/>
          <w:b/>
        </w:rPr>
        <w:t xml:space="preserve">Regulatory Compliance:</w:t>
      </w:r>
      <w:r>
        <w:t xml:space="preserve"> </w:t>
      </w:r>
      <w:r>
        <w:t xml:space="preserve">Delays in obtaining academic credentials verification from Egyptian Ministry of Higher Education. We've partnered with the National Academic Recognition Information Center to streamline this process.</w:t>
      </w:r>
    </w:p>
    <w:p>
      <w:pPr>
        <w:numPr>
          <w:ilvl w:val="0"/>
          <w:numId w:val="1003"/>
        </w:numPr>
        <w:pStyle w:val="Compact"/>
      </w:pPr>
      <w:r>
        <w:rPr>
          <w:bCs/>
          <w:b/>
        </w:rPr>
        <w:t xml:space="preserve">Cultural Alignment:</w:t>
      </w:r>
      <w:r>
        <w:t xml:space="preserve"> </w:t>
      </w:r>
      <w:r>
        <w:t xml:space="preserve">Need for enhanced training on Egyptian educational philosophies. Our new lecturer onboarding now includes modules on "Egyptian Student Engagement Dynamics."</w:t>
      </w:r>
    </w:p>
    <w:bookmarkEnd w:id="24"/>
    <w:bookmarkStart w:id="25" w:name="X835b853c7f025480be1bead56959f0d1ade6f10"/>
    <w:p>
      <w:pPr>
        <w:pStyle w:val="Heading2"/>
      </w:pPr>
      <w:r>
        <w:t xml:space="preserve">Future Sales Strategy for Egypt Cairo Campus</w:t>
      </w:r>
    </w:p>
    <w:p>
      <w:pPr>
        <w:pStyle w:val="FirstParagraph"/>
      </w:pPr>
      <w:r>
        <w:t xml:space="preserve">Building on Q3 success, our proposed sales plan focuses on sustainable growth in the Cairo market:</w:t>
      </w:r>
    </w:p>
    <w:p>
      <w:pPr>
        <w:numPr>
          <w:ilvl w:val="0"/>
          <w:numId w:val="1004"/>
        </w:numPr>
        <w:pStyle w:val="Compact"/>
      </w:pPr>
      <w:r>
        <w:rPr>
          <w:bCs/>
          <w:b/>
        </w:rPr>
        <w:t xml:space="preserve">University Lecturer Talent Pipeline Program:</w:t>
      </w:r>
      <w:r>
        <w:t xml:space="preserve"> </w:t>
      </w:r>
      <w:r>
        <w:t xml:space="preserve">Establishing formal internship agreements with Egyptian universities to identify and develop future faculty members.</w:t>
      </w:r>
    </w:p>
    <w:p>
      <w:pPr>
        <w:numPr>
          <w:ilvl w:val="0"/>
          <w:numId w:val="1004"/>
        </w:numPr>
        <w:pStyle w:val="Compact"/>
      </w:pPr>
      <w:r>
        <w:rPr>
          <w:bCs/>
          <w:b/>
        </w:rPr>
        <w:t xml:space="preserve">Cairo Academic Partnerships Initiative:</w:t>
      </w:r>
      <w:r>
        <w:t xml:space="preserve"> </w:t>
      </w:r>
      <w:r>
        <w:t xml:space="preserve">Creating a dedicated recruitment hub at our campus with monthly "Lecturer Career Coffee Chats" in collaboration with Egyptian academic associations.</w:t>
      </w:r>
    </w:p>
    <w:p>
      <w:pPr>
        <w:numPr>
          <w:ilvl w:val="0"/>
          <w:numId w:val="1004"/>
        </w:numPr>
        <w:pStyle w:val="Compact"/>
      </w:pPr>
      <w:r>
        <w:rPr>
          <w:bCs/>
          <w:b/>
        </w:rPr>
        <w:t xml:space="preserve">Technology-Enabled Sales Outreach:</w:t>
      </w:r>
      <w:r>
        <w:t xml:space="preserve"> </w:t>
      </w:r>
      <w:r>
        <w:t xml:space="preserve">Implementing AI-driven candidate matching that considers Egypt-specific qualifications (e.g., recognition of Egyptian master's degrees).</w:t>
      </w:r>
    </w:p>
    <w:p>
      <w:pPr>
        <w:pStyle w:val="FirstParagraph"/>
      </w:pPr>
      <w:r>
        <w:t xml:space="preserve">These initiatives will position us to maintain our 92% placement rate while addressing Cairo's growing demand for quality university lecturers. Our target is to increase lecturer recruitment efficiency by 30% by Q1 2024 through these strategic sales enhancements.</w:t>
      </w:r>
    </w:p>
    <w:bookmarkEnd w:id="25"/>
    <w:bookmarkStart w:id="26" w:name="conclusion-strategic-imperative"/>
    <w:p>
      <w:pPr>
        <w:pStyle w:val="Heading2"/>
      </w:pPr>
      <w:r>
        <w:t xml:space="preserve">Conclusion &amp; Strategic Imperative</w:t>
      </w:r>
    </w:p>
    <w:p>
      <w:pPr>
        <w:pStyle w:val="FirstParagraph"/>
      </w:pPr>
      <w:r>
        <w:t xml:space="preserve">The Q3 Sales Report for University Lecturer positions at our Egypt Cairo campus demonstrates that a market-specific recruitment strategy yields exceptional results in Egypt's competitive academic landscape. By deeply understanding the nuances of Egyptian higher education – from housing expectations to credential recognition – we've transformed lecturer recruitment into a strategic business advantage rather than an operational challenge.</w:t>
      </w:r>
    </w:p>
    <w:p>
      <w:pPr>
        <w:pStyle w:val="BodyText"/>
      </w:pPr>
      <w:r>
        <w:t xml:space="preserve">As Cairo remains the epicenter of Egypt's educational transformation (with government investing $2.3 billion in new university infrastructure this year), our ability to efficiently secure top-tier lecturers directly impacts institutional growth and national education goals. The 92% placement rate achieved in Q3 isn't merely a recruitment success; it's a sustainable competitive asset that positions our Cairo campus as the preferred destination for Egyptian academic talent.</w:t>
      </w:r>
    </w:p>
    <w:p>
      <w:pPr>
        <w:pStyle w:val="BodyText"/>
      </w:pPr>
      <w:r>
        <w:t xml:space="preserve">Going forward, we will continue to refine our sales approach by embedding Egypt-specific insights into every recruitment interaction – ensuring that when we seek University Lecturers in Egypt Cairo, we deliver precisely what both candidates and the institution require. This market-focused strategy has proven essential for academic excellence in one of the world's most dynamic educational markets.</w:t>
      </w:r>
    </w:p>
    <w:p>
      <w:pPr>
        <w:pStyle w:val="BodyText"/>
      </w:pPr>
      <w:r>
        <w:rPr>
          <w:bCs/>
          <w:b/>
        </w:rPr>
        <w:t xml:space="preserve">Prepared By:</w:t>
      </w:r>
      <w:r>
        <w:t xml:space="preserve"> </w:t>
      </w:r>
      <w:r>
        <w:t xml:space="preserve">Institutional Recruitment Strategy Team</w:t>
      </w:r>
      <w:r>
        <w:br/>
      </w:r>
      <w:r>
        <w:rPr>
          <w:bCs/>
          <w:b/>
        </w:rPr>
        <w:t xml:space="preserve">Date:</w:t>
      </w:r>
      <w:r>
        <w:t xml:space="preserve"> </w:t>
      </w:r>
      <w:r>
        <w:t xml:space="preserve">October 26, 2023</w:t>
      </w:r>
      <w:r>
        <w:br/>
      </w:r>
      <w:r>
        <w:rPr>
          <w:bCs/>
          <w:b/>
        </w:rPr>
        <w:t xml:space="preserve">Campus Location:</w:t>
      </w:r>
      <w:r>
        <w:t xml:space="preserve"> </w:t>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Egypt Cairo Campus</dc:title>
  <dc:creator/>
  <cp:keywords/>
  <dcterms:created xsi:type="dcterms:W3CDTF">2025-12-11T07:49:35Z</dcterms:created>
  <dcterms:modified xsi:type="dcterms:W3CDTF">2025-12-11T07:49:35Z</dcterms:modified>
</cp:coreProperties>
</file>

<file path=docProps/custom.xml><?xml version="1.0" encoding="utf-8"?>
<Properties xmlns="http://schemas.openxmlformats.org/officeDocument/2006/custom-properties" xmlns:vt="http://schemas.openxmlformats.org/officeDocument/2006/docPropsVTypes"/>
</file>