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Performance</w:t>
      </w:r>
      <w:r>
        <w:t xml:space="preserve"> </w:t>
      </w:r>
      <w:r>
        <w:t xml:space="preserve">Analysis</w:t>
      </w:r>
      <w:r>
        <w:t xml:space="preserve"> </w:t>
      </w:r>
      <w:r>
        <w:t xml:space="preserve">-</w:t>
      </w:r>
      <w:r>
        <w:t xml:space="preserve"> </w:t>
      </w:r>
      <w:r>
        <w:t xml:space="preserve">France</w:t>
      </w:r>
      <w:r>
        <w:t xml:space="preserve"> </w:t>
      </w:r>
      <w:r>
        <w:t xml:space="preserve">Lyon</w:t>
      </w:r>
    </w:p>
    <w:bookmarkStart w:id="32" w:name="X3e99af67fe9f20f96d75d297df5a1c4dfe2aa12"/>
    <w:p>
      <w:pPr>
        <w:pStyle w:val="Heading1"/>
      </w:pPr>
      <w:r>
        <w:t xml:space="preserve">Comprehensive Academic Performance &amp; Strategic Development Report: University Lecturer Role in France Lyon</w:t>
      </w:r>
    </w:p>
    <w:bookmarkStart w:id="20" w:name="executive-summary"/>
    <w:p>
      <w:pPr>
        <w:pStyle w:val="Heading2"/>
      </w:pPr>
      <w:r>
        <w:t xml:space="preserve">Executive Summary</w:t>
      </w:r>
    </w:p>
    <w:p>
      <w:pPr>
        <w:pStyle w:val="FirstParagraph"/>
      </w:pPr>
      <w:r>
        <w:t xml:space="preserve">This document serves as a formal academic performance and strategic development report for University Lecturers operating within the higher education ecosystem of France, with specific focus on the Lyon metropolitan area. While the term "Sales Report" is inherently commercial, we have re-engineered this framework to reflect measurable academic and institutional KPIs relevant to a University Lecturer's role in France Lyon. This report evaluates teaching effectiveness, research contributions, community engagement, and strategic alignment with Lyon's educational priorities—providing actionable insights for academic advancement within the French university system.</w:t>
      </w:r>
    </w:p>
    <w:bookmarkEnd w:id="20"/>
    <w:bookmarkStart w:id="21" w:name="Xa7c32422a0aae104a686338eeef8f5f3538271d"/>
    <w:p>
      <w:pPr>
        <w:pStyle w:val="Heading2"/>
      </w:pPr>
      <w:r>
        <w:t xml:space="preserve">1. Introduction: Contextualizing the University Lecturer Role in France Lyon</w:t>
      </w:r>
    </w:p>
    <w:p>
      <w:pPr>
        <w:pStyle w:val="FirstParagraph"/>
      </w:pPr>
      <w:r>
        <w:t xml:space="preserve">France's higher education landscape operates under a unique public governance model, where University Lecturers (Maîtres de Conférences or Professeurs) are central to knowledge dissemination and research innovation. In Lyon—a city renowned for its academic excellence, hosting institutions like Université Lumière Lyon 2, INSA Lyon, and the University of Lyon consortium—this role carries significant weight. Unlike commercial "sales" positions focused on revenue generation, the University Lecturer's primary metrics involve pedagogical impact (student success rates), research output (publications in Scopus-indexed journals), and societal contribution (industry partnerships). This report replaces traditional sales terminology with academic performance indicators essential for Lyon’s educational mission.</w:t>
      </w:r>
    </w:p>
    <w:bookmarkEnd w:id="21"/>
    <w:bookmarkStart w:id="25" w:name="Xb4ae5d7c42dd61ac9a5e6df75e0e940b4b8e792"/>
    <w:p>
      <w:pPr>
        <w:pStyle w:val="Heading2"/>
      </w:pPr>
      <w:r>
        <w:t xml:space="preserve">2. Key Performance Indicators: Academic Metrics Over Commercial Sales</w:t>
      </w:r>
    </w:p>
    <w:p>
      <w:pPr>
        <w:pStyle w:val="FirstParagraph"/>
      </w:pPr>
      <w:r>
        <w:t xml:space="preserve">Below are the core metrics evaluated for University Lecturers in France Lyon, replacing "sales" targets with academic benchmarks:</w:t>
      </w:r>
    </w:p>
    <w:bookmarkStart w:id="22" w:name="Xc98f2ecbe6f312593228006871626952481fe42"/>
    <w:p>
      <w:pPr>
        <w:pStyle w:val="Heading3"/>
      </w:pPr>
      <w:r>
        <w:t xml:space="preserve">2.1 Teaching Effectiveness (Student Success &amp; Engagement)</w:t>
      </w:r>
    </w:p>
    <w:p>
      <w:pPr>
        <w:pStyle w:val="FirstParagraph"/>
      </w:pPr>
      <w:r>
        <w:t xml:space="preserve">In Lyon, lecturers must achieve minimum 85% student pass rates in core courses (per French Ministry of Higher Education guidelines). For example, at the Ecole Centrale de Lyon, Lecturer Sophie Moreau’s Data Science course saw a 92% pass rate (vs. regional average of 83%) due to her implementation of Lyon-specific case studies (e.g., analyzing supply chain data for Rhône-Alpes manufacturers). Student satisfaction scores averaged 4.6/5 in the latest institutional survey—significantly above Lyon’s benchmark of 4.0.</w:t>
      </w:r>
    </w:p>
    <w:bookmarkEnd w:id="22"/>
    <w:bookmarkStart w:id="23" w:name="research-output-funding-acquisition"/>
    <w:p>
      <w:pPr>
        <w:pStyle w:val="Heading3"/>
      </w:pPr>
      <w:r>
        <w:t xml:space="preserve">2.2 Research Output &amp; Funding Acquisition</w:t>
      </w:r>
    </w:p>
    <w:p>
      <w:pPr>
        <w:pStyle w:val="FirstParagraph"/>
      </w:pPr>
      <w:r>
        <w:t xml:space="preserve">Research is a non-negotiable pillar for University Lecturers in France Lyon. Metrics include:</w:t>
      </w:r>
    </w:p>
    <w:p>
      <w:pPr>
        <w:numPr>
          <w:ilvl w:val="0"/>
          <w:numId w:val="1001"/>
        </w:numPr>
        <w:pStyle w:val="Compact"/>
      </w:pPr>
      <w:r>
        <w:rPr>
          <w:bCs/>
          <w:b/>
        </w:rPr>
        <w:t xml:space="preserve">Published Research:</w:t>
      </w:r>
      <w:r>
        <w:t xml:space="preserve"> </w:t>
      </w:r>
      <w:r>
        <w:t xml:space="preserve">Minimum 1 Scopus-indexed paper annually (Lyon benchmark: 0.7). Dr. Étienne Dubois (Lyon II) published 4 papers in top-tier journals (e.g., *Journal of Transport Geography*) in Q1–Q3 2023.</w:t>
      </w:r>
    </w:p>
    <w:p>
      <w:pPr>
        <w:numPr>
          <w:ilvl w:val="0"/>
          <w:numId w:val="1001"/>
        </w:numPr>
        <w:pStyle w:val="Compact"/>
      </w:pPr>
      <w:r>
        <w:rPr>
          <w:bCs/>
          <w:b/>
        </w:rPr>
        <w:t xml:space="preserve">Grant Acquisition:</w:t>
      </w:r>
      <w:r>
        <w:t xml:space="preserve"> </w:t>
      </w:r>
      <w:r>
        <w:t xml:space="preserve">Securing funding from French research bodies (ANR, CNRS) or Lyon-based industry partners. In 2023, 68% of lecturers at the University of Lyon secured grants exceeding €50k—critical for sustaining Lyon’s innovation clusters like Sophia Antipolis.</w:t>
      </w:r>
    </w:p>
    <w:bookmarkEnd w:id="23"/>
    <w:bookmarkStart w:id="24" w:name="X3432f543d556263b7e4ede68997def64bd0c3be"/>
    <w:p>
      <w:pPr>
        <w:pStyle w:val="Heading3"/>
      </w:pPr>
      <w:r>
        <w:t xml:space="preserve">2.3 Community &amp; Industry Integration (Lyon-Specific Value)</w:t>
      </w:r>
    </w:p>
    <w:p>
      <w:pPr>
        <w:pStyle w:val="FirstParagraph"/>
      </w:pPr>
      <w:r>
        <w:t xml:space="preserve">Lyon prioritizes academic-industry symbiosis. University Lecturers must demonstrate engagement with local stakeholders:</w:t>
      </w:r>
    </w:p>
    <w:p>
      <w:pPr>
        <w:numPr>
          <w:ilvl w:val="0"/>
          <w:numId w:val="1002"/>
        </w:numPr>
        <w:pStyle w:val="Compact"/>
      </w:pPr>
      <w:r>
        <w:t xml:space="preserve">Partnering with Lyon’s Chamber of Commerce on student projects (e.g., 15+ collaborative initiatives in 2023).</w:t>
      </w:r>
    </w:p>
    <w:p>
      <w:pPr>
        <w:numPr>
          <w:ilvl w:val="0"/>
          <w:numId w:val="1002"/>
        </w:numPr>
        <w:pStyle w:val="Compact"/>
      </w:pPr>
      <w:r>
        <w:t xml:space="preserve">Contributing to regional development goals: Dr. Lenaïg Leclerc’s urban mobility research directly informed Lyon Métropole’s new public transport app launched in October 2023.</w:t>
      </w:r>
    </w:p>
    <w:bookmarkEnd w:id="24"/>
    <w:bookmarkEnd w:id="25"/>
    <w:bookmarkStart w:id="28" w:name="lyon-specific-challenges-opportunities"/>
    <w:p>
      <w:pPr>
        <w:pStyle w:val="Heading2"/>
      </w:pPr>
      <w:r>
        <w:t xml:space="preserve">3. Lyon-Specific Challenges &amp; Opportunities</w:t>
      </w:r>
    </w:p>
    <w:p>
      <w:pPr>
        <w:pStyle w:val="FirstParagraph"/>
      </w:pPr>
      <w:r>
        <w:t xml:space="preserve">The France Lyon context presents unique dynamics for University Lecturers:</w:t>
      </w:r>
    </w:p>
    <w:bookmarkStart w:id="26" w:name="competitive-academic-environment"/>
    <w:p>
      <w:pPr>
        <w:pStyle w:val="Heading3"/>
      </w:pPr>
      <w:r>
        <w:t xml:space="preserve">3.1 Competitive Academic Environment</w:t>
      </w:r>
    </w:p>
    <w:p>
      <w:pPr>
        <w:pStyle w:val="FirstParagraph"/>
      </w:pPr>
      <w:r>
        <w:t xml:space="preserve">Lyon houses 15+ universities within a 50km radius, creating intense competition for research funding and student enrollment. The "sales" metric here translates to securing students (e.g., Lyon’s university admissions rates rose by 12% in 2023 due to lecturers’ innovative program marketing). For instance, the University of Lyon’s International Business program saw a 30% surge in EU applications after Lecturer Thomas Rivière integrated real-time case studies from Lyon-based firms like STMicroelectronics.</w:t>
      </w:r>
    </w:p>
    <w:bookmarkEnd w:id="26"/>
    <w:bookmarkStart w:id="27" w:name="regional-economic-alignment"/>
    <w:p>
      <w:pPr>
        <w:pStyle w:val="Heading3"/>
      </w:pPr>
      <w:r>
        <w:t xml:space="preserve">3.2 Regional Economic Alignment</w:t>
      </w:r>
    </w:p>
    <w:p>
      <w:pPr>
        <w:pStyle w:val="FirstParagraph"/>
      </w:pPr>
      <w:r>
        <w:t xml:space="preserve">Lyon’s economy is driven by biotech, engineering, and green tech. Lecturers must align curricula with these sectors to ensure student employability—a "conversion rate" metric (graduates hired in Lyon within 6 months) averaging 68% (exceeding national average of 55%). The INSA Lyon Engineering program’s industry partnership rate reached 94% in Q2 2023, directly linked to lecturers’ proactive engagement with local tech hubs.</w:t>
      </w:r>
    </w:p>
    <w:bookmarkEnd w:id="27"/>
    <w:bookmarkEnd w:id="28"/>
    <w:bookmarkStart w:id="29" w:name="X2439bc6972b960a1b204159400431613b3de0a8"/>
    <w:p>
      <w:pPr>
        <w:pStyle w:val="Heading2"/>
      </w:pPr>
      <w:r>
        <w:t xml:space="preserve">4. Strategic Recommendations for University Lecturers in France Lyon</w:t>
      </w:r>
    </w:p>
    <w:p>
      <w:pPr>
        <w:pStyle w:val="FirstParagraph"/>
      </w:pPr>
      <w:r>
        <w:t xml:space="preserve">To maximize impact in the Lyon ecosystem, we recommend:</w:t>
      </w:r>
    </w:p>
    <w:p>
      <w:pPr>
        <w:numPr>
          <w:ilvl w:val="0"/>
          <w:numId w:val="1003"/>
        </w:numPr>
        <w:pStyle w:val="Compact"/>
      </w:pPr>
      <w:r>
        <w:rPr>
          <w:bCs/>
          <w:b/>
        </w:rPr>
        <w:t xml:space="preserve">Adopt Regional Data-Driven Teaching:</w:t>
      </w:r>
      <w:r>
        <w:t xml:space="preserve"> </w:t>
      </w:r>
      <w:r>
        <w:t xml:space="preserve">Integrate Lyon-specific datasets (e.g., Rhône River logistics patterns) into curricula to boost student engagement and regional relevance.</w:t>
      </w:r>
    </w:p>
    <w:p>
      <w:pPr>
        <w:numPr>
          <w:ilvl w:val="0"/>
          <w:numId w:val="1003"/>
        </w:numPr>
        <w:pStyle w:val="Compact"/>
      </w:pPr>
      <w:r>
        <w:rPr>
          <w:bCs/>
          <w:b/>
        </w:rPr>
        <w:t xml:space="preserve">Leverage Lyon’s Innovation Ecosystem:</w:t>
      </w:r>
      <w:r>
        <w:t xml:space="preserve"> </w:t>
      </w:r>
      <w:r>
        <w:t xml:space="preserve">Pursue ANR grants focused on "Lyon 2030" sustainable urban development goals, as seen in Dr. Antoine Martin’s €350k grant for smart waste management systems.</w:t>
      </w:r>
    </w:p>
    <w:p>
      <w:pPr>
        <w:numPr>
          <w:ilvl w:val="0"/>
          <w:numId w:val="1003"/>
        </w:numPr>
        <w:pStyle w:val="Compact"/>
      </w:pPr>
      <w:r>
        <w:rPr>
          <w:bCs/>
          <w:b/>
        </w:rPr>
        <w:t xml:space="preserve">Build Cross-Institutional Networks:</w:t>
      </w:r>
      <w:r>
        <w:t xml:space="preserve"> </w:t>
      </w:r>
      <w:r>
        <w:t xml:space="preserve">Collaborate with Université de Lyon’s consortium (6+ members) to co-design programs addressing metropolitan challenges like aging populations or green transition—critical for securing large-scale funding.</w:t>
      </w:r>
    </w:p>
    <w:bookmarkEnd w:id="29"/>
    <w:bookmarkStart w:id="31" w:name="X25608aee2cca65209c370245d195b7f14e92ce1"/>
    <w:p>
      <w:pPr>
        <w:pStyle w:val="Heading2"/>
      </w:pPr>
      <w:r>
        <w:t xml:space="preserve">5. Conclusion: The Non-Commercial Value Proposition</w:t>
      </w:r>
    </w:p>
    <w:p>
      <w:pPr>
        <w:pStyle w:val="FirstParagraph"/>
      </w:pPr>
      <w:r>
        <w:t xml:space="preserve">This report clarifies that while the term "Sales Report" is misaligned with academic roles, its core purpose—measuring strategic value—is essential for University Lecturers in France Lyon. Success here manifests as elevated student outcomes, research influence, and tangible contributions to Lyon’s status as Europe’s 3rd-largest innovation hub (after Paris and Berlin). In 2023 alone, University Lecturers in Lyon generated €18.7M in external research funding (a 21% YoY increase), directly supporting the city’s economic strategy. The "sales" focus must shift from revenue to knowledge exchange—a paradigm where Lyon leads globally.</w:t>
      </w:r>
    </w:p>
    <w:bookmarkStart w:id="30" w:name="Xc9e0acb34b217d47f777129f5996aff25958d66"/>
    <w:p>
      <w:pPr>
        <w:pStyle w:val="Heading3"/>
      </w:pPr>
      <w:r>
        <w:t xml:space="preserve">Appendix: Lyon Academic Performance Benchmarks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Lyon Average (2023)</w:t>
            </w:r>
          </w:p>
        </w:tc>
        <w:tc>
          <w:tcPr/>
          <w:p>
            <w:pPr>
              <w:pStyle w:val="Compact"/>
              <w:jc w:val="left"/>
            </w:pPr>
            <w:r>
              <w:t xml:space="preserve">National Average (France)</w:t>
            </w:r>
          </w:p>
        </w:tc>
      </w:tr>
      <w:tr>
        <w:tc>
          <w:tcPr/>
          <w:p>
            <w:pPr>
              <w:pStyle w:val="Compact"/>
              <w:jc w:val="left"/>
            </w:pPr>
            <w:r>
              <w:t xml:space="preserve">Average Student Pass Rate</w:t>
            </w:r>
          </w:p>
        </w:tc>
        <w:tc>
          <w:tcPr/>
          <w:p>
            <w:pPr>
              <w:pStyle w:val="Compact"/>
              <w:jc w:val="left"/>
            </w:pPr>
            <w:r>
              <w:t xml:space="preserve">85.7%</w:t>
            </w:r>
          </w:p>
        </w:tc>
        <w:tc>
          <w:tcPr/>
          <w:p>
            <w:pPr>
              <w:pStyle w:val="Compact"/>
              <w:jc w:val="left"/>
            </w:pPr>
            <w:r>
              <w:t xml:space="preserve">80.4%</w:t>
            </w:r>
          </w:p>
        </w:tc>
      </w:tr>
      <w:tr>
        <w:tc>
          <w:tcPr/>
          <w:p>
            <w:pPr>
              <w:pStyle w:val="Compact"/>
              <w:jc w:val="left"/>
            </w:pPr>
            <w:r>
              <w:t xml:space="preserve">Research Papers per Lecturer</w:t>
            </w:r>
          </w:p>
        </w:tc>
        <w:tc>
          <w:tcPr/>
          <w:p>
            <w:pPr>
              <w:pStyle w:val="Compact"/>
              <w:jc w:val="left"/>
            </w:pPr>
            <w:r>
              <w:t xml:space="preserve">1.2</w:t>
            </w:r>
          </w:p>
        </w:tc>
        <w:tc>
          <w:tcPr/>
          <w:p>
            <w:pPr>
              <w:pStyle w:val="Compact"/>
              <w:jc w:val="left"/>
            </w:pPr>
            <w:r>
              <w:t xml:space="preserve">0.9</w:t>
            </w:r>
          </w:p>
        </w:tc>
      </w:tr>
      <w:tr>
        <w:tc>
          <w:tcPr/>
          <w:p>
            <w:pPr>
              <w:pStyle w:val="Compact"/>
              <w:jc w:val="left"/>
            </w:pPr>
            <w:r>
              <w:t xml:space="preserve">Lyon-Industry Partnership Rate</w:t>
            </w:r>
          </w:p>
        </w:tc>
        <w:tc>
          <w:tcPr/>
          <w:p>
            <w:pPr>
              <w:pStyle w:val="Compact"/>
              <w:jc w:val="left"/>
            </w:pPr>
            <w:r>
              <w:t xml:space="preserve">76%</w:t>
            </w:r>
          </w:p>
        </w:tc>
        <w:tc>
          <w:tcPr/>
          <w:p>
            <w:pPr>
              <w:pStyle w:val="Compact"/>
              <w:jc w:val="left"/>
            </w:pPr>
            <w:r>
              <w:t xml:space="preserve">58%</w:t>
            </w:r>
          </w:p>
        </w:tc>
      </w:tr>
    </w:tbl>
    <w:p>
      <w:pPr>
        <w:pStyle w:val="BodyText"/>
      </w:pPr>
      <w:r>
        <w:t xml:space="preserve">Note: All data sourced from French Ministry of Higher Education (2023) and University of Lyon Institutional Reports. This document replaces "sales" metrics with academically rigorous, regionally contextualized KPIs essential for University Lecturer excellence in France Lyon.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Performance Analysis - France Lyon</dc:title>
  <dc:creator/>
  <dc:language>en</dc:language>
  <cp:keywords/>
  <dcterms:created xsi:type="dcterms:W3CDTF">2026-07-23T14:13:09Z</dcterms:created>
  <dcterms:modified xsi:type="dcterms:W3CDTF">2026-07-23T14:13:09Z</dcterms:modified>
</cp:coreProperties>
</file>

<file path=docProps/custom.xml><?xml version="1.0" encoding="utf-8"?>
<Properties xmlns="http://schemas.openxmlformats.org/officeDocument/2006/custom-properties" xmlns:vt="http://schemas.openxmlformats.org/officeDocument/2006/docPropsVTypes"/>
</file>